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南通</w:t>
      </w:r>
      <w:r>
        <w:rPr>
          <w:rFonts w:hint="eastAsia" w:asciiTheme="minorEastAsia" w:hAnsiTheme="minorEastAsia"/>
          <w:b/>
          <w:sz w:val="32"/>
          <w:szCs w:val="32"/>
          <w:lang w:eastAsia="zh-CN"/>
        </w:rPr>
        <w:t>港集团建设投资</w:t>
      </w:r>
      <w:r>
        <w:rPr>
          <w:rFonts w:hint="eastAsia" w:asciiTheme="minorEastAsia" w:hAnsiTheme="minorEastAsia"/>
          <w:b/>
          <w:sz w:val="32"/>
          <w:szCs w:val="32"/>
        </w:rPr>
        <w:t>有限公</w:t>
      </w:r>
      <w:r>
        <w:rPr>
          <w:rFonts w:hint="eastAsia" w:asciiTheme="minorEastAsia" w:hAnsiTheme="minorEastAsia"/>
          <w:b/>
          <w:sz w:val="32"/>
          <w:szCs w:val="32"/>
          <w:lang w:val="en-US" w:eastAsia="zh-CN"/>
        </w:rPr>
        <w:t>司区间收益类保本型产品及灵活资金管理存款类产品</w:t>
      </w:r>
      <w:r>
        <w:rPr>
          <w:rFonts w:hint="eastAsia" w:asciiTheme="minorEastAsia" w:hAnsiTheme="minorEastAsia"/>
          <w:b/>
          <w:sz w:val="32"/>
          <w:szCs w:val="32"/>
        </w:rPr>
        <w:t>询价文件</w:t>
      </w:r>
    </w:p>
    <w:p>
      <w:pPr>
        <w:rPr>
          <w:rFonts w:hint="eastAsia" w:ascii="仿宋" w:hAnsi="仿宋" w:eastAsia="仿宋"/>
          <w:sz w:val="28"/>
          <w:szCs w:val="28"/>
        </w:rPr>
      </w:pPr>
      <w:r>
        <w:rPr>
          <w:rFonts w:hint="eastAsia" w:ascii="仿宋" w:hAnsi="仿宋" w:eastAsia="仿宋"/>
          <w:sz w:val="28"/>
          <w:szCs w:val="28"/>
        </w:rPr>
        <w:t xml:space="preserve">  </w:t>
      </w:r>
    </w:p>
    <w:p>
      <w:pPr>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b/>
          <w:sz w:val="28"/>
          <w:szCs w:val="28"/>
        </w:rPr>
        <w:t>一、询价项目名称</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南通</w:t>
      </w:r>
      <w:r>
        <w:rPr>
          <w:rFonts w:hint="eastAsia" w:ascii="仿宋" w:hAnsi="仿宋" w:eastAsia="仿宋"/>
          <w:sz w:val="28"/>
          <w:szCs w:val="28"/>
          <w:lang w:eastAsia="zh-CN"/>
        </w:rPr>
        <w:t>港集团建设投资</w:t>
      </w:r>
      <w:r>
        <w:rPr>
          <w:rFonts w:hint="eastAsia" w:ascii="仿宋" w:hAnsi="仿宋" w:eastAsia="仿宋"/>
          <w:sz w:val="28"/>
          <w:szCs w:val="28"/>
        </w:rPr>
        <w:t>有限</w:t>
      </w:r>
      <w:r>
        <w:rPr>
          <w:rFonts w:hint="eastAsia" w:ascii="仿宋" w:hAnsi="仿宋" w:eastAsia="仿宋"/>
          <w:sz w:val="28"/>
          <w:szCs w:val="28"/>
          <w:lang w:eastAsia="zh-CN"/>
        </w:rPr>
        <w:t>公司</w:t>
      </w:r>
      <w:r>
        <w:rPr>
          <w:rFonts w:hint="eastAsia" w:ascii="仿宋" w:hAnsi="仿宋" w:eastAsia="仿宋"/>
          <w:sz w:val="28"/>
          <w:szCs w:val="28"/>
          <w:lang w:val="en-US" w:eastAsia="zh-CN"/>
        </w:rPr>
        <w:t>区间收益类保本型产品</w:t>
      </w:r>
      <w:r>
        <w:rPr>
          <w:rFonts w:hint="eastAsia" w:ascii="仿宋" w:hAnsi="仿宋" w:eastAsia="仿宋"/>
          <w:sz w:val="28"/>
          <w:szCs w:val="28"/>
        </w:rPr>
        <w:t>项目</w:t>
      </w:r>
    </w:p>
    <w:p>
      <w:pPr>
        <w:ind w:firstLine="560" w:firstLineChars="200"/>
        <w:rPr>
          <w:rFonts w:hint="eastAsia" w:eastAsia="仿宋"/>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南通</w:t>
      </w:r>
      <w:r>
        <w:rPr>
          <w:rFonts w:hint="eastAsia" w:ascii="仿宋" w:hAnsi="仿宋" w:eastAsia="仿宋"/>
          <w:sz w:val="28"/>
          <w:szCs w:val="28"/>
          <w:lang w:eastAsia="zh-CN"/>
        </w:rPr>
        <w:t>港集团建设投资</w:t>
      </w:r>
      <w:r>
        <w:rPr>
          <w:rFonts w:hint="eastAsia" w:ascii="仿宋" w:hAnsi="仿宋" w:eastAsia="仿宋"/>
          <w:sz w:val="28"/>
          <w:szCs w:val="28"/>
        </w:rPr>
        <w:t>有限</w:t>
      </w:r>
      <w:r>
        <w:rPr>
          <w:rFonts w:hint="eastAsia" w:ascii="仿宋" w:hAnsi="仿宋" w:eastAsia="仿宋"/>
          <w:sz w:val="28"/>
          <w:szCs w:val="28"/>
          <w:lang w:eastAsia="zh-CN"/>
        </w:rPr>
        <w:t>公司</w:t>
      </w:r>
      <w:r>
        <w:rPr>
          <w:rFonts w:hint="eastAsia" w:ascii="仿宋" w:hAnsi="仿宋" w:eastAsia="仿宋"/>
          <w:sz w:val="28"/>
          <w:szCs w:val="28"/>
          <w:lang w:val="en-US" w:eastAsia="zh-CN"/>
        </w:rPr>
        <w:t>灵活资金管理存款类产品</w:t>
      </w:r>
      <w:r>
        <w:rPr>
          <w:rFonts w:hint="eastAsia" w:ascii="仿宋" w:hAnsi="仿宋" w:eastAsia="仿宋"/>
          <w:sz w:val="28"/>
          <w:szCs w:val="28"/>
        </w:rPr>
        <w:t>项目</w:t>
      </w:r>
    </w:p>
    <w:p>
      <w:pPr>
        <w:numPr>
          <w:ilvl w:val="0"/>
          <w:numId w:val="1"/>
        </w:numPr>
        <w:ind w:firstLine="562" w:firstLineChars="200"/>
        <w:rPr>
          <w:rFonts w:hint="eastAsia" w:ascii="仿宋" w:hAnsi="仿宋" w:eastAsia="仿宋"/>
          <w:b/>
          <w:sz w:val="28"/>
          <w:szCs w:val="28"/>
        </w:rPr>
      </w:pPr>
      <w:r>
        <w:rPr>
          <w:rFonts w:hint="eastAsia" w:ascii="仿宋" w:hAnsi="仿宋" w:eastAsia="仿宋"/>
          <w:b/>
          <w:sz w:val="28"/>
          <w:szCs w:val="28"/>
        </w:rPr>
        <w:t>询价项目基本情况</w:t>
      </w:r>
    </w:p>
    <w:p>
      <w:pPr>
        <w:ind w:firstLine="560" w:firstLineChars="200"/>
        <w:rPr>
          <w:rFonts w:hint="eastAsia" w:ascii="仿宋" w:hAnsi="仿宋" w:eastAsia="仿宋"/>
          <w:sz w:val="28"/>
          <w:szCs w:val="28"/>
        </w:rPr>
      </w:pPr>
      <w:r>
        <w:rPr>
          <w:rFonts w:hint="eastAsia" w:ascii="仿宋" w:hAnsi="仿宋" w:eastAsia="仿宋"/>
          <w:sz w:val="28"/>
          <w:szCs w:val="28"/>
        </w:rPr>
        <w:t>本次询价比选共设</w:t>
      </w:r>
      <w:r>
        <w:rPr>
          <w:rFonts w:hint="eastAsia" w:ascii="仿宋" w:hAnsi="仿宋" w:eastAsia="仿宋"/>
          <w:sz w:val="28"/>
          <w:szCs w:val="28"/>
          <w:lang w:val="en-US" w:eastAsia="zh-CN"/>
        </w:rPr>
        <w:t>3</w:t>
      </w:r>
      <w:r>
        <w:rPr>
          <w:rFonts w:hint="eastAsia" w:ascii="仿宋" w:hAnsi="仿宋" w:eastAsia="仿宋"/>
          <w:sz w:val="28"/>
          <w:szCs w:val="28"/>
        </w:rPr>
        <w:t>个标段，</w:t>
      </w:r>
      <w:r>
        <w:rPr>
          <w:rFonts w:hint="eastAsia" w:ascii="仿宋" w:hAnsi="仿宋" w:eastAsia="仿宋"/>
          <w:b/>
          <w:bCs/>
          <w:sz w:val="28"/>
          <w:szCs w:val="28"/>
        </w:rPr>
        <w:t>标段1金额</w:t>
      </w:r>
      <w:r>
        <w:rPr>
          <w:rFonts w:hint="eastAsia" w:ascii="仿宋" w:hAnsi="仿宋" w:eastAsia="仿宋"/>
          <w:b/>
          <w:bCs/>
          <w:sz w:val="28"/>
          <w:szCs w:val="28"/>
          <w:lang w:val="en-US" w:eastAsia="zh-CN"/>
        </w:rPr>
        <w:t>7000万</w:t>
      </w:r>
      <w:r>
        <w:rPr>
          <w:rFonts w:hint="eastAsia" w:ascii="仿宋" w:hAnsi="仿宋" w:eastAsia="仿宋"/>
          <w:b/>
          <w:bCs/>
          <w:sz w:val="28"/>
          <w:szCs w:val="28"/>
        </w:rPr>
        <w:t>元，</w:t>
      </w:r>
      <w:r>
        <w:rPr>
          <w:rFonts w:hint="eastAsia" w:ascii="仿宋" w:hAnsi="仿宋" w:eastAsia="仿宋"/>
          <w:b/>
          <w:bCs/>
          <w:sz w:val="28"/>
          <w:szCs w:val="28"/>
          <w:lang w:val="en-US" w:eastAsia="zh-CN"/>
        </w:rPr>
        <w:t>期限6个月</w:t>
      </w:r>
      <w:r>
        <w:rPr>
          <w:rFonts w:hint="eastAsia" w:ascii="仿宋" w:hAnsi="仿宋" w:eastAsia="仿宋"/>
          <w:b/>
          <w:bCs/>
          <w:sz w:val="28"/>
          <w:szCs w:val="28"/>
        </w:rPr>
        <w:t>；标段2金额</w:t>
      </w:r>
      <w:r>
        <w:rPr>
          <w:rFonts w:hint="eastAsia" w:ascii="仿宋" w:hAnsi="仿宋" w:eastAsia="仿宋"/>
          <w:b/>
          <w:bCs/>
          <w:sz w:val="28"/>
          <w:szCs w:val="28"/>
          <w:lang w:val="en-US" w:eastAsia="zh-CN"/>
        </w:rPr>
        <w:t>3000万</w:t>
      </w:r>
      <w:r>
        <w:rPr>
          <w:rFonts w:hint="eastAsia" w:ascii="仿宋" w:hAnsi="仿宋" w:eastAsia="仿宋"/>
          <w:b/>
          <w:bCs/>
          <w:sz w:val="28"/>
          <w:szCs w:val="28"/>
        </w:rPr>
        <w:t>元，无固定期限</w:t>
      </w:r>
      <w:r>
        <w:rPr>
          <w:rFonts w:hint="eastAsia" w:ascii="仿宋" w:hAnsi="仿宋" w:eastAsia="仿宋"/>
          <w:b/>
          <w:bCs/>
          <w:sz w:val="28"/>
          <w:szCs w:val="28"/>
          <w:lang w:eastAsia="zh-CN"/>
        </w:rPr>
        <w:t>；标段</w:t>
      </w:r>
      <w:r>
        <w:rPr>
          <w:rFonts w:hint="eastAsia" w:ascii="仿宋" w:hAnsi="仿宋" w:eastAsia="仿宋"/>
          <w:b/>
          <w:bCs/>
          <w:sz w:val="28"/>
          <w:szCs w:val="28"/>
          <w:lang w:val="en-US" w:eastAsia="zh-CN"/>
        </w:rPr>
        <w:t>3金额12000万元，无固定期限</w:t>
      </w:r>
      <w:r>
        <w:rPr>
          <w:rFonts w:hint="eastAsia" w:ascii="仿宋" w:hAnsi="仿宋" w:eastAsia="仿宋"/>
          <w:b/>
          <w:bCs/>
          <w:sz w:val="28"/>
          <w:szCs w:val="28"/>
        </w:rPr>
        <w:t>。</w:t>
      </w:r>
      <w:r>
        <w:rPr>
          <w:rFonts w:hint="eastAsia" w:ascii="仿宋" w:hAnsi="仿宋" w:eastAsia="仿宋"/>
          <w:sz w:val="28"/>
          <w:szCs w:val="28"/>
        </w:rPr>
        <w:t>每家银行可同时投所有标段，但每家银行只能成为一个标段的中选银行。</w:t>
      </w:r>
    </w:p>
    <w:tbl>
      <w:tblPr>
        <w:tblStyle w:val="9"/>
        <w:tblpPr w:leftFromText="180" w:rightFromText="180" w:vertAnchor="text" w:horzAnchor="page" w:tblpXSpec="center" w:tblpY="71"/>
        <w:tblOverlap w:val="never"/>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153"/>
        <w:gridCol w:w="1668"/>
        <w:gridCol w:w="1467"/>
        <w:gridCol w:w="1102"/>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374"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序号</w:t>
            </w:r>
          </w:p>
        </w:tc>
        <w:tc>
          <w:tcPr>
            <w:tcW w:w="2153" w:type="dxa"/>
            <w:tcBorders>
              <w:tl2br w:val="nil"/>
              <w:tr2bl w:val="nil"/>
            </w:tcBorders>
            <w:shd w:val="clear" w:color="auto" w:fill="auto"/>
            <w:vAlign w:val="center"/>
          </w:tcPr>
          <w:p>
            <w:pPr>
              <w:widowControl/>
              <w:spacing w:line="240" w:lineRule="auto"/>
              <w:jc w:val="center"/>
              <w:rPr>
                <w:rFonts w:hint="default" w:ascii="仿宋" w:hAnsi="仿宋" w:eastAsia="仿宋"/>
                <w:b/>
                <w:sz w:val="24"/>
                <w:szCs w:val="24"/>
                <w:lang w:val="en-US" w:eastAsia="zh-CN"/>
              </w:rPr>
            </w:pPr>
            <w:r>
              <w:rPr>
                <w:rFonts w:hint="eastAsia" w:ascii="仿宋" w:hAnsi="仿宋" w:eastAsia="仿宋" w:cs="宋体"/>
                <w:b/>
                <w:color w:val="000000"/>
                <w:kern w:val="0"/>
                <w:sz w:val="24"/>
                <w:szCs w:val="24"/>
                <w:lang w:val="en-US" w:eastAsia="zh-CN"/>
              </w:rPr>
              <w:t>询价</w:t>
            </w:r>
            <w:r>
              <w:rPr>
                <w:rFonts w:hint="eastAsia" w:ascii="仿宋" w:hAnsi="仿宋" w:eastAsia="仿宋" w:cs="宋体"/>
                <w:b/>
                <w:color w:val="000000"/>
                <w:kern w:val="0"/>
                <w:sz w:val="24"/>
                <w:szCs w:val="24"/>
              </w:rPr>
              <w:t>单位</w:t>
            </w:r>
          </w:p>
        </w:tc>
        <w:tc>
          <w:tcPr>
            <w:tcW w:w="1668"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lang w:val="en-US" w:eastAsia="zh-CN"/>
              </w:rPr>
              <w:t>项目</w:t>
            </w:r>
          </w:p>
        </w:tc>
        <w:tc>
          <w:tcPr>
            <w:tcW w:w="1467"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金额（万元）</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期限（月）</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74"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标段1</w:t>
            </w:r>
          </w:p>
        </w:tc>
        <w:tc>
          <w:tcPr>
            <w:tcW w:w="2153"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rPr>
            </w:pPr>
            <w:r>
              <w:rPr>
                <w:rFonts w:hint="eastAsia" w:ascii="仿宋" w:hAnsi="仿宋" w:eastAsia="仿宋" w:cs="宋体"/>
                <w:b/>
                <w:color w:val="000000"/>
                <w:kern w:val="0"/>
                <w:sz w:val="24"/>
                <w:szCs w:val="24"/>
              </w:rPr>
              <w:t>南通</w:t>
            </w:r>
            <w:r>
              <w:rPr>
                <w:rFonts w:hint="eastAsia" w:ascii="仿宋" w:hAnsi="仿宋" w:eastAsia="仿宋" w:cs="宋体"/>
                <w:b/>
                <w:color w:val="000000"/>
                <w:kern w:val="0"/>
                <w:sz w:val="24"/>
                <w:szCs w:val="24"/>
                <w:lang w:eastAsia="zh-CN"/>
              </w:rPr>
              <w:t>港集团建设投资</w:t>
            </w:r>
            <w:r>
              <w:rPr>
                <w:rFonts w:hint="eastAsia" w:ascii="仿宋" w:hAnsi="仿宋" w:eastAsia="仿宋" w:cs="宋体"/>
                <w:b/>
                <w:color w:val="000000"/>
                <w:kern w:val="0"/>
                <w:sz w:val="24"/>
                <w:szCs w:val="24"/>
              </w:rPr>
              <w:t>有限公司</w:t>
            </w:r>
          </w:p>
        </w:tc>
        <w:tc>
          <w:tcPr>
            <w:tcW w:w="1668"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区间收益类保本型产品</w:t>
            </w:r>
          </w:p>
        </w:tc>
        <w:tc>
          <w:tcPr>
            <w:tcW w:w="1467"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rPr>
            </w:pPr>
            <w:r>
              <w:rPr>
                <w:rFonts w:hint="eastAsia" w:ascii="仿宋" w:hAnsi="仿宋" w:eastAsia="仿宋" w:cs="宋体"/>
                <w:b/>
                <w:color w:val="000000"/>
                <w:kern w:val="0"/>
                <w:sz w:val="24"/>
                <w:szCs w:val="24"/>
                <w:lang w:val="en-US" w:eastAsia="zh-CN"/>
              </w:rPr>
              <w:t>7000</w:t>
            </w:r>
          </w:p>
        </w:tc>
        <w:tc>
          <w:tcPr>
            <w:tcW w:w="1102"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6</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374"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eastAsia="zh-CN"/>
              </w:rPr>
            </w:pPr>
            <w:r>
              <w:rPr>
                <w:rFonts w:hint="eastAsia" w:ascii="仿宋" w:hAnsi="仿宋" w:eastAsia="仿宋" w:cs="宋体"/>
                <w:b/>
                <w:color w:val="000000"/>
                <w:kern w:val="0"/>
                <w:sz w:val="24"/>
                <w:szCs w:val="24"/>
              </w:rPr>
              <w:t>标段</w:t>
            </w:r>
            <w:r>
              <w:rPr>
                <w:rFonts w:hint="eastAsia" w:ascii="仿宋" w:hAnsi="仿宋" w:eastAsia="仿宋" w:cs="宋体"/>
                <w:b/>
                <w:color w:val="000000"/>
                <w:kern w:val="0"/>
                <w:sz w:val="24"/>
                <w:szCs w:val="24"/>
                <w:lang w:val="en-US" w:eastAsia="zh-CN"/>
              </w:rPr>
              <w:t>2</w:t>
            </w:r>
          </w:p>
        </w:tc>
        <w:tc>
          <w:tcPr>
            <w:tcW w:w="2153"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rPr>
            </w:pPr>
            <w:r>
              <w:rPr>
                <w:rFonts w:hint="eastAsia" w:ascii="仿宋" w:hAnsi="仿宋" w:eastAsia="仿宋" w:cs="宋体"/>
                <w:b/>
                <w:color w:val="000000"/>
                <w:kern w:val="0"/>
                <w:sz w:val="24"/>
                <w:szCs w:val="24"/>
              </w:rPr>
              <w:t>南通</w:t>
            </w:r>
            <w:r>
              <w:rPr>
                <w:rFonts w:hint="eastAsia" w:ascii="仿宋" w:hAnsi="仿宋" w:eastAsia="仿宋" w:cs="宋体"/>
                <w:b/>
                <w:color w:val="000000"/>
                <w:kern w:val="0"/>
                <w:sz w:val="24"/>
                <w:szCs w:val="24"/>
                <w:lang w:eastAsia="zh-CN"/>
              </w:rPr>
              <w:t>港集团建设投资</w:t>
            </w:r>
            <w:r>
              <w:rPr>
                <w:rFonts w:hint="eastAsia" w:ascii="仿宋" w:hAnsi="仿宋" w:eastAsia="仿宋" w:cs="宋体"/>
                <w:b/>
                <w:color w:val="000000"/>
                <w:kern w:val="0"/>
                <w:sz w:val="24"/>
                <w:szCs w:val="24"/>
              </w:rPr>
              <w:t>有限公司</w:t>
            </w:r>
          </w:p>
        </w:tc>
        <w:tc>
          <w:tcPr>
            <w:tcW w:w="1668"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b/>
                <w:bCs/>
                <w:sz w:val="24"/>
                <w:szCs w:val="24"/>
                <w:lang w:val="en-US" w:eastAsia="zh-CN"/>
              </w:rPr>
              <w:t>灵活资金管理存款类产品</w:t>
            </w:r>
          </w:p>
        </w:tc>
        <w:tc>
          <w:tcPr>
            <w:tcW w:w="1467"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lang w:val="en-US" w:eastAsia="zh-CN"/>
              </w:rPr>
              <w:t>3000</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bidi="ar-SA"/>
              </w:rPr>
            </w:pPr>
            <w:r>
              <w:rPr>
                <w:rFonts w:hint="eastAsia" w:ascii="仿宋" w:hAnsi="仿宋" w:eastAsia="仿宋" w:cs="宋体"/>
                <w:b/>
                <w:color w:val="000000"/>
                <w:kern w:val="0"/>
                <w:sz w:val="24"/>
                <w:szCs w:val="24"/>
                <w:lang w:val="en-US" w:eastAsia="zh-CN"/>
              </w:rPr>
              <w:t>无固定期限</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374"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标段3</w:t>
            </w:r>
          </w:p>
        </w:tc>
        <w:tc>
          <w:tcPr>
            <w:tcW w:w="2153"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rPr>
            </w:pPr>
            <w:r>
              <w:rPr>
                <w:rFonts w:hint="eastAsia" w:ascii="仿宋" w:hAnsi="仿宋" w:eastAsia="仿宋" w:cs="宋体"/>
                <w:b/>
                <w:color w:val="000000"/>
                <w:kern w:val="0"/>
                <w:sz w:val="24"/>
                <w:szCs w:val="24"/>
              </w:rPr>
              <w:t>南通</w:t>
            </w:r>
            <w:r>
              <w:rPr>
                <w:rFonts w:hint="eastAsia" w:ascii="仿宋" w:hAnsi="仿宋" w:eastAsia="仿宋" w:cs="宋体"/>
                <w:b/>
                <w:color w:val="000000"/>
                <w:kern w:val="0"/>
                <w:sz w:val="24"/>
                <w:szCs w:val="24"/>
                <w:lang w:eastAsia="zh-CN"/>
              </w:rPr>
              <w:t>港集团建设投资</w:t>
            </w:r>
            <w:r>
              <w:rPr>
                <w:rFonts w:hint="eastAsia" w:ascii="仿宋" w:hAnsi="仿宋" w:eastAsia="仿宋" w:cs="宋体"/>
                <w:b/>
                <w:color w:val="000000"/>
                <w:kern w:val="0"/>
                <w:sz w:val="24"/>
                <w:szCs w:val="24"/>
              </w:rPr>
              <w:t>有限公司</w:t>
            </w:r>
          </w:p>
        </w:tc>
        <w:tc>
          <w:tcPr>
            <w:tcW w:w="1668" w:type="dxa"/>
            <w:tcBorders>
              <w:tl2br w:val="nil"/>
              <w:tr2bl w:val="nil"/>
            </w:tcBorders>
            <w:shd w:val="clear" w:color="auto" w:fill="auto"/>
            <w:vAlign w:val="center"/>
          </w:tcPr>
          <w:p>
            <w:pPr>
              <w:widowControl/>
              <w:spacing w:line="240" w:lineRule="auto"/>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灵活资金管理存款类产品</w:t>
            </w:r>
          </w:p>
        </w:tc>
        <w:tc>
          <w:tcPr>
            <w:tcW w:w="1467" w:type="dxa"/>
            <w:tcBorders>
              <w:tl2br w:val="nil"/>
              <w:tr2bl w:val="nil"/>
            </w:tcBorders>
            <w:shd w:val="clear" w:color="auto" w:fill="auto"/>
            <w:vAlign w:val="center"/>
          </w:tcPr>
          <w:p>
            <w:pPr>
              <w:widowControl/>
              <w:spacing w:line="240" w:lineRule="auto"/>
              <w:jc w:val="center"/>
              <w:rPr>
                <w:rFonts w:hint="default"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12000</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无固定期限</w:t>
            </w:r>
          </w:p>
        </w:tc>
        <w:tc>
          <w:tcPr>
            <w:tcW w:w="1102" w:type="dxa"/>
            <w:tcBorders>
              <w:tl2br w:val="nil"/>
              <w:tr2bl w:val="nil"/>
            </w:tcBorders>
            <w:shd w:val="clear" w:color="auto" w:fill="auto"/>
            <w:vAlign w:val="center"/>
          </w:tcPr>
          <w:p>
            <w:pPr>
              <w:widowControl/>
              <w:spacing w:line="240" w:lineRule="auto"/>
              <w:jc w:val="center"/>
              <w:rPr>
                <w:rFonts w:hint="eastAsia" w:ascii="仿宋" w:hAnsi="仿宋" w:eastAsia="仿宋" w:cs="宋体"/>
                <w:b/>
                <w:color w:val="000000"/>
                <w:kern w:val="0"/>
                <w:sz w:val="24"/>
                <w:szCs w:val="24"/>
                <w:lang w:val="en-US" w:eastAsia="zh-CN"/>
              </w:rPr>
            </w:pPr>
            <w:r>
              <w:rPr>
                <w:rFonts w:hint="eastAsia" w:ascii="仿宋" w:hAnsi="仿宋" w:eastAsia="仿宋" w:cs="宋体"/>
                <w:b/>
                <w:color w:val="000000"/>
                <w:kern w:val="0"/>
                <w:sz w:val="24"/>
                <w:szCs w:val="24"/>
                <w:lang w:val="en-US" w:eastAsia="zh-CN"/>
              </w:rPr>
              <w:t>新江海代建项目资金专户</w:t>
            </w:r>
          </w:p>
        </w:tc>
      </w:tr>
    </w:tbl>
    <w:p>
      <w:pPr>
        <w:numPr>
          <w:ilvl w:val="0"/>
          <w:numId w:val="0"/>
        </w:numPr>
        <w:rPr>
          <w:rFonts w:hint="eastAsia" w:ascii="仿宋" w:hAnsi="仿宋" w:eastAsia="仿宋"/>
          <w:sz w:val="28"/>
          <w:szCs w:val="28"/>
          <w:lang w:val="en-US" w:eastAsia="zh-CN"/>
        </w:rPr>
      </w:pPr>
    </w:p>
    <w:p>
      <w:pPr>
        <w:numPr>
          <w:ilvl w:val="0"/>
          <w:numId w:val="2"/>
        </w:numPr>
        <w:ind w:firstLine="280" w:firstLineChars="100"/>
        <w:rPr>
          <w:rFonts w:hint="eastAsia" w:ascii="仿宋" w:hAnsi="仿宋" w:eastAsia="仿宋" w:cs="宋体"/>
          <w:b/>
          <w:color w:val="000000"/>
          <w:kern w:val="0"/>
          <w:sz w:val="28"/>
          <w:szCs w:val="28"/>
          <w:lang w:val="en-US" w:eastAsia="zh-CN"/>
        </w:rPr>
      </w:pPr>
      <w:r>
        <w:rPr>
          <w:rFonts w:hint="eastAsia" w:ascii="仿宋" w:hAnsi="仿宋" w:eastAsia="仿宋"/>
          <w:sz w:val="28"/>
          <w:szCs w:val="28"/>
          <w:lang w:val="en-US" w:eastAsia="zh-CN"/>
        </w:rPr>
        <w:t>本次询价的</w:t>
      </w:r>
      <w:r>
        <w:rPr>
          <w:rFonts w:hint="eastAsia" w:ascii="仿宋" w:hAnsi="仿宋" w:eastAsia="仿宋" w:cs="宋体"/>
          <w:b/>
          <w:color w:val="000000"/>
          <w:kern w:val="0"/>
          <w:sz w:val="28"/>
          <w:szCs w:val="28"/>
          <w:lang w:val="en-US" w:eastAsia="zh-CN"/>
        </w:rPr>
        <w:t>区间收益类保本型产品，</w:t>
      </w:r>
      <w:r>
        <w:rPr>
          <w:rFonts w:hint="eastAsia" w:ascii="仿宋" w:hAnsi="仿宋" w:eastAsia="仿宋"/>
          <w:sz w:val="28"/>
          <w:szCs w:val="28"/>
          <w:lang w:val="en-US" w:eastAsia="zh-CN"/>
        </w:rPr>
        <w:t>包括但不限定于结构性存款等保本型金融产品，</w:t>
      </w:r>
      <w:r>
        <w:rPr>
          <w:rFonts w:hint="eastAsia" w:ascii="仿宋" w:hAnsi="仿宋" w:eastAsia="仿宋" w:cs="宋体"/>
          <w:b/>
          <w:color w:val="000000"/>
          <w:kern w:val="0"/>
          <w:sz w:val="28"/>
          <w:szCs w:val="28"/>
          <w:lang w:val="en-US" w:eastAsia="zh-CN"/>
        </w:rPr>
        <w:t>中选银行在产品说明书或产品协议中有本金完全保证条款。</w:t>
      </w:r>
    </w:p>
    <w:p>
      <w:pPr>
        <w:numPr>
          <w:ilvl w:val="0"/>
          <w:numId w:val="2"/>
        </w:numPr>
        <w:ind w:firstLine="280" w:firstLineChars="100"/>
        <w:rPr>
          <w:rFonts w:hint="default"/>
          <w:lang w:val="en-US" w:eastAsia="zh-CN"/>
        </w:rPr>
      </w:pPr>
      <w:r>
        <w:rPr>
          <w:rFonts w:hint="eastAsia" w:ascii="仿宋" w:hAnsi="仿宋" w:eastAsia="仿宋"/>
          <w:sz w:val="28"/>
          <w:szCs w:val="28"/>
          <w:lang w:val="en-US" w:eastAsia="zh-CN"/>
        </w:rPr>
        <w:t>本次询价的</w:t>
      </w:r>
      <w:r>
        <w:rPr>
          <w:rFonts w:hint="eastAsia" w:ascii="仿宋" w:hAnsi="仿宋" w:eastAsia="仿宋"/>
          <w:b/>
          <w:bCs/>
          <w:sz w:val="28"/>
          <w:szCs w:val="28"/>
          <w:lang w:val="en-US" w:eastAsia="zh-CN"/>
        </w:rPr>
        <w:t>灵活资金管理存款类产品，包括但不限定于活期存款、协定存款等存款类产品(含开放式保本型)，中选银行要确保询价人可按需灵活用款，报价收益率按日均存款余额为标准兑付，当存款余额低于1000万元时，询价人一次性提清。</w:t>
      </w:r>
    </w:p>
    <w:p>
      <w:pPr>
        <w:ind w:firstLine="562" w:firstLineChars="200"/>
        <w:rPr>
          <w:rFonts w:ascii="仿宋" w:hAnsi="仿宋" w:eastAsia="仿宋"/>
          <w:b/>
          <w:sz w:val="28"/>
          <w:szCs w:val="28"/>
        </w:rPr>
      </w:pPr>
      <w:r>
        <w:rPr>
          <w:rFonts w:hint="eastAsia" w:ascii="仿宋" w:hAnsi="仿宋" w:eastAsia="仿宋"/>
          <w:b/>
          <w:sz w:val="28"/>
          <w:szCs w:val="28"/>
        </w:rPr>
        <w:t>三、报价银行基本条件</w:t>
      </w:r>
    </w:p>
    <w:p>
      <w:pPr>
        <w:ind w:firstLine="560" w:firstLineChars="200"/>
        <w:rPr>
          <w:rFonts w:ascii="仿宋" w:hAnsi="仿宋" w:eastAsia="仿宋"/>
          <w:sz w:val="28"/>
          <w:szCs w:val="28"/>
        </w:rPr>
      </w:pPr>
      <w:r>
        <w:rPr>
          <w:rFonts w:hint="eastAsia" w:ascii="仿宋" w:hAnsi="仿宋" w:eastAsia="仿宋"/>
          <w:sz w:val="28"/>
          <w:szCs w:val="28"/>
        </w:rPr>
        <w:t>1、持有工商行政管理部门颁发的年检合格的营业执照。</w:t>
      </w:r>
    </w:p>
    <w:p>
      <w:pPr>
        <w:ind w:firstLine="560" w:firstLineChars="200"/>
        <w:rPr>
          <w:rFonts w:hint="eastAsia" w:ascii="仿宋" w:hAnsi="仿宋" w:eastAsia="仿宋"/>
          <w:sz w:val="28"/>
          <w:szCs w:val="28"/>
        </w:rPr>
      </w:pPr>
      <w:r>
        <w:rPr>
          <w:rFonts w:hint="eastAsia" w:ascii="仿宋" w:hAnsi="仿宋" w:eastAsia="仿宋"/>
          <w:sz w:val="28"/>
          <w:szCs w:val="28"/>
        </w:rPr>
        <w:t>2、参加此次询价的</w:t>
      </w:r>
      <w:r>
        <w:rPr>
          <w:rFonts w:hint="eastAsia" w:ascii="仿宋" w:hAnsi="仿宋" w:eastAsia="仿宋"/>
          <w:sz w:val="28"/>
          <w:szCs w:val="28"/>
          <w:lang w:val="en-US" w:eastAsia="zh-CN"/>
        </w:rPr>
        <w:t>银行须在南通地区有营业网点，</w:t>
      </w:r>
      <w:r>
        <w:rPr>
          <w:rFonts w:hint="eastAsia" w:ascii="仿宋" w:hAnsi="仿宋" w:eastAsia="仿宋"/>
          <w:sz w:val="28"/>
          <w:szCs w:val="28"/>
        </w:rPr>
        <w:t>在分行范围内只接受一家机构报名，</w:t>
      </w:r>
      <w:r>
        <w:rPr>
          <w:rFonts w:hint="eastAsia" w:ascii="仿宋" w:hAnsi="仿宋" w:eastAsia="仿宋"/>
          <w:sz w:val="28"/>
          <w:szCs w:val="28"/>
          <w:lang w:val="en-US" w:eastAsia="zh-CN"/>
        </w:rPr>
        <w:t>同一银行如有两家及以上机构报名，</w:t>
      </w:r>
      <w:r>
        <w:rPr>
          <w:rFonts w:hint="eastAsia" w:ascii="仿宋" w:hAnsi="仿宋" w:eastAsia="仿宋"/>
          <w:sz w:val="28"/>
          <w:szCs w:val="28"/>
        </w:rPr>
        <w:t>以分行授权为准。</w:t>
      </w:r>
    </w:p>
    <w:p>
      <w:pPr>
        <w:ind w:firstLine="560" w:firstLineChars="200"/>
        <w:rPr>
          <w:rFonts w:hint="default" w:ascii="仿宋" w:hAnsi="仿宋" w:eastAsia="仿宋"/>
          <w:sz w:val="28"/>
          <w:szCs w:val="28"/>
          <w:lang w:val="en-US"/>
        </w:rPr>
      </w:pPr>
      <w:r>
        <w:rPr>
          <w:rFonts w:hint="eastAsia" w:ascii="仿宋" w:hAnsi="仿宋" w:eastAsia="仿宋"/>
          <w:sz w:val="28"/>
          <w:szCs w:val="28"/>
          <w:lang w:val="en-US" w:eastAsia="zh-CN"/>
        </w:rPr>
        <w:t>3、对前期合作中出现不履约情况，且至本次比选时解决方案仍未落地的银行，不得参与此次报价。</w:t>
      </w:r>
    </w:p>
    <w:p>
      <w:pPr>
        <w:ind w:firstLine="560" w:firstLineChars="200"/>
        <w:rPr>
          <w:rFonts w:ascii="仿宋" w:hAnsi="仿宋" w:eastAsia="仿宋" w:cs="Times New Roman"/>
          <w:b/>
          <w:color w:val="FF0000"/>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cs="Times New Roman"/>
          <w:b/>
          <w:sz w:val="28"/>
          <w:szCs w:val="28"/>
          <w:lang w:eastAsia="zh-CN"/>
        </w:rPr>
        <w:t>中选银行</w:t>
      </w:r>
      <w:r>
        <w:rPr>
          <w:rFonts w:hint="eastAsia" w:ascii="仿宋" w:hAnsi="仿宋" w:eastAsia="仿宋" w:cs="Times New Roman"/>
          <w:b/>
          <w:sz w:val="28"/>
          <w:szCs w:val="28"/>
        </w:rPr>
        <w:t>在产品到期时，</w:t>
      </w:r>
      <w:r>
        <w:rPr>
          <w:rFonts w:hint="eastAsia" w:ascii="仿宋" w:hAnsi="仿宋" w:eastAsia="仿宋" w:cs="Times New Roman"/>
          <w:b/>
          <w:sz w:val="28"/>
          <w:szCs w:val="28"/>
          <w:lang w:val="en-US" w:eastAsia="zh-CN"/>
        </w:rPr>
        <w:t>应按不低于其产品预期收益率结算利息，</w:t>
      </w:r>
      <w:r>
        <w:rPr>
          <w:rFonts w:hint="eastAsia" w:ascii="仿宋" w:hAnsi="仿宋" w:eastAsia="仿宋" w:cs="Times New Roman"/>
          <w:b/>
          <w:sz w:val="28"/>
          <w:szCs w:val="28"/>
          <w:lang w:eastAsia="zh-CN"/>
        </w:rPr>
        <w:t>如</w:t>
      </w:r>
      <w:r>
        <w:rPr>
          <w:rFonts w:hint="eastAsia" w:ascii="仿宋" w:hAnsi="仿宋" w:eastAsia="仿宋" w:cs="Times New Roman"/>
          <w:b/>
          <w:sz w:val="28"/>
          <w:szCs w:val="28"/>
          <w:lang w:val="en-US" w:eastAsia="zh-CN"/>
        </w:rPr>
        <w:t>无法达到</w:t>
      </w:r>
      <w:r>
        <w:rPr>
          <w:rFonts w:hint="eastAsia" w:ascii="仿宋" w:hAnsi="仿宋" w:eastAsia="仿宋" w:cs="Times New Roman"/>
          <w:b/>
          <w:sz w:val="28"/>
          <w:szCs w:val="28"/>
          <w:lang w:eastAsia="zh-CN"/>
        </w:rPr>
        <w:t>报价</w:t>
      </w:r>
      <w:r>
        <w:rPr>
          <w:rFonts w:hint="eastAsia" w:ascii="仿宋" w:hAnsi="仿宋" w:eastAsia="仿宋" w:cs="Times New Roman"/>
          <w:b/>
          <w:sz w:val="28"/>
          <w:szCs w:val="28"/>
          <w:lang w:val="en-US" w:eastAsia="zh-CN"/>
        </w:rPr>
        <w:t>约定</w:t>
      </w:r>
      <w:r>
        <w:rPr>
          <w:rFonts w:hint="eastAsia" w:ascii="仿宋" w:hAnsi="仿宋" w:eastAsia="仿宋" w:cs="Times New Roman"/>
          <w:b/>
          <w:sz w:val="28"/>
          <w:szCs w:val="28"/>
          <w:lang w:eastAsia="zh-CN"/>
        </w:rPr>
        <w:t>收益率，中选银行需另外</w:t>
      </w:r>
      <w:r>
        <w:rPr>
          <w:rFonts w:hint="eastAsia" w:ascii="仿宋" w:hAnsi="仿宋" w:eastAsia="仿宋" w:cs="Times New Roman"/>
          <w:b/>
          <w:sz w:val="28"/>
          <w:szCs w:val="28"/>
          <w:lang w:val="en-US" w:eastAsia="zh-CN"/>
        </w:rPr>
        <w:t>补足</w:t>
      </w:r>
      <w:r>
        <w:rPr>
          <w:rFonts w:hint="eastAsia" w:ascii="仿宋" w:hAnsi="仿宋" w:eastAsia="仿宋" w:cs="Times New Roman"/>
          <w:b/>
          <w:sz w:val="28"/>
          <w:szCs w:val="28"/>
          <w:lang w:eastAsia="zh-CN"/>
        </w:rPr>
        <w:t>报价</w:t>
      </w:r>
      <w:r>
        <w:rPr>
          <w:rFonts w:hint="eastAsia" w:ascii="仿宋" w:hAnsi="仿宋" w:eastAsia="仿宋" w:cs="Times New Roman"/>
          <w:b/>
          <w:sz w:val="28"/>
          <w:szCs w:val="28"/>
          <w:lang w:val="en-US" w:eastAsia="zh-CN"/>
        </w:rPr>
        <w:t>收益差额</w:t>
      </w:r>
      <w:r>
        <w:rPr>
          <w:rFonts w:hint="eastAsia" w:ascii="仿宋" w:hAnsi="仿宋" w:eastAsia="仿宋" w:cs="Times New Roman"/>
          <w:b/>
          <w:sz w:val="28"/>
          <w:szCs w:val="28"/>
          <w:lang w:eastAsia="zh-CN"/>
        </w:rPr>
        <w:t>。否则将列为南通港（港口）集团有限公司金融合作负面名单，从</w:t>
      </w:r>
      <w:r>
        <w:rPr>
          <w:rFonts w:hint="eastAsia" w:ascii="仿宋" w:hAnsi="仿宋" w:eastAsia="仿宋" w:cs="Times New Roman"/>
          <w:b/>
          <w:sz w:val="28"/>
          <w:szCs w:val="28"/>
          <w:lang w:val="en-US" w:eastAsia="zh-CN"/>
        </w:rPr>
        <w:t>发生之日起暂停该银行不少于24个月的各类金融业务参选资格。</w:t>
      </w:r>
    </w:p>
    <w:p>
      <w:pPr>
        <w:ind w:firstLine="562" w:firstLineChars="200"/>
        <w:rPr>
          <w:rFonts w:ascii="仿宋" w:hAnsi="仿宋" w:eastAsia="仿宋"/>
          <w:b/>
          <w:sz w:val="28"/>
          <w:szCs w:val="28"/>
        </w:rPr>
      </w:pPr>
      <w:r>
        <w:rPr>
          <w:rFonts w:hint="eastAsia" w:ascii="仿宋" w:hAnsi="仿宋" w:eastAsia="仿宋"/>
          <w:b/>
          <w:sz w:val="28"/>
          <w:szCs w:val="28"/>
        </w:rPr>
        <w:t>四、报价</w:t>
      </w:r>
      <w:r>
        <w:rPr>
          <w:rFonts w:ascii="仿宋" w:hAnsi="仿宋" w:eastAsia="仿宋"/>
          <w:b/>
          <w:sz w:val="28"/>
          <w:szCs w:val="28"/>
        </w:rPr>
        <w:t>截止时间与</w:t>
      </w:r>
      <w:r>
        <w:rPr>
          <w:rFonts w:hint="eastAsia" w:ascii="仿宋" w:hAnsi="仿宋" w:eastAsia="仿宋"/>
          <w:b/>
          <w:sz w:val="28"/>
          <w:szCs w:val="28"/>
        </w:rPr>
        <w:t>评审</w:t>
      </w:r>
      <w:r>
        <w:rPr>
          <w:rFonts w:ascii="仿宋" w:hAnsi="仿宋" w:eastAsia="仿宋"/>
          <w:b/>
          <w:sz w:val="28"/>
          <w:szCs w:val="28"/>
        </w:rPr>
        <w:t>时间</w:t>
      </w:r>
    </w:p>
    <w:p>
      <w:pPr>
        <w:ind w:firstLine="585"/>
        <w:rPr>
          <w:rFonts w:ascii="仿宋" w:hAnsi="仿宋" w:eastAsia="仿宋"/>
          <w:sz w:val="28"/>
          <w:szCs w:val="28"/>
        </w:rPr>
      </w:pPr>
      <w:r>
        <w:rPr>
          <w:rFonts w:hint="eastAsia" w:ascii="仿宋" w:hAnsi="仿宋" w:eastAsia="仿宋"/>
          <w:sz w:val="28"/>
          <w:szCs w:val="28"/>
        </w:rPr>
        <w:t>报价截止时间：（北京时间）202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17</w:t>
      </w:r>
      <w:r>
        <w:rPr>
          <w:rFonts w:hint="eastAsia" w:ascii="仿宋" w:hAnsi="仿宋" w:eastAsia="仿宋"/>
          <w:sz w:val="28"/>
          <w:szCs w:val="28"/>
          <w:highlight w:val="none"/>
        </w:rPr>
        <w:t>日</w:t>
      </w:r>
      <w:r>
        <w:rPr>
          <w:rFonts w:hint="eastAsia" w:ascii="仿宋" w:hAnsi="仿宋" w:eastAsia="仿宋"/>
          <w:sz w:val="28"/>
          <w:szCs w:val="28"/>
          <w:highlight w:val="none"/>
          <w:lang w:eastAsia="zh-CN"/>
        </w:rPr>
        <w:t>下午</w:t>
      </w:r>
      <w:r>
        <w:rPr>
          <w:rFonts w:hint="eastAsia" w:ascii="仿宋" w:hAnsi="仿宋" w:eastAsia="仿宋"/>
          <w:sz w:val="28"/>
          <w:szCs w:val="28"/>
          <w:highlight w:val="none"/>
          <w:lang w:val="en-US" w:eastAsia="zh-CN"/>
        </w:rPr>
        <w:t>18</w:t>
      </w:r>
      <w:r>
        <w:rPr>
          <w:rFonts w:hint="eastAsia" w:ascii="仿宋" w:hAnsi="仿宋" w:eastAsia="仿宋"/>
          <w:sz w:val="28"/>
          <w:szCs w:val="28"/>
          <w:highlight w:val="none"/>
        </w:rPr>
        <w:t>：00</w:t>
      </w:r>
      <w:r>
        <w:rPr>
          <w:rFonts w:hint="eastAsia" w:ascii="仿宋" w:hAnsi="仿宋" w:eastAsia="仿宋"/>
          <w:sz w:val="28"/>
          <w:szCs w:val="28"/>
        </w:rPr>
        <w:t>整。</w:t>
      </w:r>
    </w:p>
    <w:p>
      <w:pPr>
        <w:ind w:firstLine="585"/>
        <w:rPr>
          <w:rFonts w:ascii="仿宋" w:hAnsi="仿宋" w:eastAsia="仿宋"/>
          <w:sz w:val="28"/>
          <w:szCs w:val="28"/>
        </w:rPr>
      </w:pPr>
      <w:r>
        <w:rPr>
          <w:rFonts w:hint="eastAsia" w:ascii="仿宋" w:hAnsi="仿宋" w:eastAsia="仿宋"/>
          <w:sz w:val="28"/>
          <w:szCs w:val="28"/>
        </w:rPr>
        <w:t>报价文件</w:t>
      </w:r>
      <w:r>
        <w:rPr>
          <w:rFonts w:hint="eastAsia" w:ascii="仿宋" w:hAnsi="仿宋" w:eastAsia="仿宋"/>
          <w:sz w:val="28"/>
          <w:szCs w:val="28"/>
          <w:lang w:eastAsia="zh-CN"/>
        </w:rPr>
        <w:t>寄送</w:t>
      </w:r>
      <w:r>
        <w:rPr>
          <w:rFonts w:hint="eastAsia" w:ascii="仿宋" w:hAnsi="仿宋" w:eastAsia="仿宋"/>
          <w:sz w:val="28"/>
          <w:szCs w:val="28"/>
        </w:rPr>
        <w:t>地点：</w:t>
      </w:r>
      <w:r>
        <w:rPr>
          <w:rFonts w:hint="eastAsia" w:ascii="仿宋" w:hAnsi="仿宋" w:eastAsia="仿宋"/>
          <w:sz w:val="28"/>
          <w:szCs w:val="28"/>
          <w:lang w:eastAsia="zh-CN"/>
        </w:rPr>
        <w:t>南通</w:t>
      </w:r>
      <w:r>
        <w:rPr>
          <w:rFonts w:hint="eastAsia" w:ascii="仿宋" w:hAnsi="仿宋" w:eastAsia="仿宋"/>
          <w:sz w:val="28"/>
          <w:szCs w:val="28"/>
        </w:rPr>
        <w:t>通州湾东海大道创智云坊7号楼</w:t>
      </w:r>
      <w:r>
        <w:rPr>
          <w:rFonts w:hint="eastAsia" w:ascii="仿宋" w:hAnsi="仿宋" w:eastAsia="仿宋"/>
          <w:sz w:val="28"/>
          <w:szCs w:val="28"/>
          <w:lang w:val="en-US" w:eastAsia="zh-CN"/>
        </w:rPr>
        <w:t>313室</w:t>
      </w:r>
      <w:r>
        <w:rPr>
          <w:rFonts w:hint="eastAsia" w:ascii="仿宋" w:hAnsi="仿宋" w:eastAsia="仿宋"/>
          <w:sz w:val="28"/>
          <w:szCs w:val="28"/>
        </w:rPr>
        <w:t>。</w:t>
      </w:r>
    </w:p>
    <w:p>
      <w:pPr>
        <w:ind w:firstLine="585"/>
        <w:rPr>
          <w:rFonts w:ascii="仿宋" w:hAnsi="仿宋" w:eastAsia="仿宋"/>
          <w:sz w:val="28"/>
          <w:szCs w:val="28"/>
        </w:rPr>
      </w:pPr>
      <w:r>
        <w:rPr>
          <w:rFonts w:hint="eastAsia" w:ascii="仿宋" w:hAnsi="仿宋" w:eastAsia="仿宋"/>
          <w:sz w:val="28"/>
          <w:szCs w:val="28"/>
        </w:rPr>
        <w:t>逾期没有送达的或者未送达指定地点的报价文件，询价人不予受理。</w:t>
      </w:r>
    </w:p>
    <w:p>
      <w:pPr>
        <w:ind w:firstLine="585"/>
        <w:rPr>
          <w:rFonts w:hint="eastAsia" w:ascii="仿宋" w:hAnsi="仿宋" w:eastAsia="仿宋"/>
          <w:sz w:val="28"/>
          <w:szCs w:val="28"/>
        </w:rPr>
      </w:pPr>
      <w:r>
        <w:rPr>
          <w:rFonts w:hint="eastAsia" w:ascii="仿宋" w:hAnsi="仿宋" w:eastAsia="仿宋"/>
          <w:sz w:val="28"/>
          <w:szCs w:val="28"/>
        </w:rPr>
        <w:t>评审</w:t>
      </w:r>
      <w:r>
        <w:rPr>
          <w:rFonts w:ascii="仿宋" w:hAnsi="仿宋" w:eastAsia="仿宋"/>
          <w:sz w:val="28"/>
          <w:szCs w:val="28"/>
        </w:rPr>
        <w:t>时间</w:t>
      </w:r>
      <w:r>
        <w:rPr>
          <w:rFonts w:hint="eastAsia" w:ascii="仿宋" w:hAnsi="仿宋" w:eastAsia="仿宋"/>
          <w:sz w:val="28"/>
          <w:szCs w:val="28"/>
        </w:rPr>
        <w:t>：（北京时间）202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18</w:t>
      </w:r>
      <w:r>
        <w:rPr>
          <w:rFonts w:hint="eastAsia" w:ascii="仿宋" w:hAnsi="仿宋" w:eastAsia="仿宋"/>
          <w:sz w:val="28"/>
          <w:szCs w:val="28"/>
        </w:rPr>
        <w:t>日</w:t>
      </w:r>
      <w:r>
        <w:rPr>
          <w:rFonts w:hint="eastAsia" w:ascii="仿宋" w:hAnsi="仿宋" w:eastAsia="仿宋"/>
          <w:sz w:val="28"/>
          <w:szCs w:val="28"/>
          <w:lang w:eastAsia="zh-CN"/>
        </w:rPr>
        <w:t>上午</w:t>
      </w:r>
      <w:r>
        <w:rPr>
          <w:rFonts w:hint="eastAsia" w:ascii="仿宋" w:hAnsi="仿宋" w:eastAsia="仿宋"/>
          <w:sz w:val="28"/>
          <w:szCs w:val="28"/>
          <w:lang w:val="en-US" w:eastAsia="zh-CN"/>
        </w:rPr>
        <w:t>09:30</w:t>
      </w:r>
      <w:r>
        <w:rPr>
          <w:rFonts w:hint="eastAsia" w:ascii="仿宋" w:hAnsi="仿宋" w:eastAsia="仿宋"/>
          <w:sz w:val="28"/>
          <w:szCs w:val="28"/>
        </w:rPr>
        <w:t>进行评审并确定中选单位，报价单位无需参加。中</w:t>
      </w:r>
      <w:r>
        <w:rPr>
          <w:rFonts w:hint="eastAsia" w:ascii="仿宋" w:hAnsi="仿宋" w:eastAsia="仿宋"/>
          <w:sz w:val="28"/>
          <w:szCs w:val="28"/>
          <w:lang w:val="en-US" w:eastAsia="zh-CN"/>
        </w:rPr>
        <w:t>选</w:t>
      </w:r>
      <w:r>
        <w:rPr>
          <w:rFonts w:hint="eastAsia" w:ascii="仿宋" w:hAnsi="仿宋" w:eastAsia="仿宋"/>
          <w:sz w:val="28"/>
          <w:szCs w:val="28"/>
        </w:rPr>
        <w:t>结果通过电话形式告知，并在南通港（港口）集团有限公司官网上进行公示。</w:t>
      </w:r>
    </w:p>
    <w:p>
      <w:pPr>
        <w:ind w:firstLine="585"/>
        <w:rPr>
          <w:rFonts w:ascii="仿宋" w:hAnsi="仿宋" w:eastAsia="仿宋"/>
          <w:b/>
          <w:sz w:val="28"/>
          <w:szCs w:val="28"/>
        </w:rPr>
      </w:pPr>
      <w:r>
        <w:rPr>
          <w:rFonts w:hint="eastAsia" w:ascii="仿宋" w:hAnsi="仿宋" w:eastAsia="仿宋"/>
          <w:b/>
          <w:sz w:val="28"/>
          <w:szCs w:val="28"/>
        </w:rPr>
        <w:t>五、报价文件要求</w:t>
      </w:r>
    </w:p>
    <w:p>
      <w:pPr>
        <w:ind w:firstLine="560" w:firstLineChars="200"/>
        <w:rPr>
          <w:rFonts w:ascii="仿宋" w:hAnsi="仿宋" w:eastAsia="仿宋"/>
          <w:sz w:val="28"/>
          <w:szCs w:val="28"/>
        </w:rPr>
      </w:pPr>
      <w:r>
        <w:rPr>
          <w:rFonts w:hint="eastAsia" w:ascii="仿宋" w:hAnsi="仿宋" w:eastAsia="仿宋"/>
          <w:sz w:val="28"/>
          <w:szCs w:val="28"/>
        </w:rPr>
        <w:t>本项目报价文件一式两份，密封提交，在评审现场开启，报价文件组成内容如下：</w:t>
      </w:r>
    </w:p>
    <w:p>
      <w:pPr>
        <w:ind w:firstLine="560" w:firstLineChars="200"/>
        <w:rPr>
          <w:rFonts w:ascii="仿宋" w:hAnsi="仿宋" w:eastAsia="仿宋"/>
          <w:sz w:val="28"/>
          <w:szCs w:val="28"/>
        </w:rPr>
      </w:pPr>
      <w:r>
        <w:rPr>
          <w:rFonts w:hint="eastAsia" w:ascii="仿宋" w:hAnsi="仿宋" w:eastAsia="仿宋"/>
          <w:sz w:val="28"/>
          <w:szCs w:val="28"/>
        </w:rPr>
        <w:t>1、营业执照复印件（</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2、分行授权书（</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cs="Times New Roman"/>
          <w:sz w:val="28"/>
          <w:szCs w:val="28"/>
        </w:rPr>
        <w:t>授信批复复印件</w:t>
      </w:r>
      <w:r>
        <w:rPr>
          <w:rFonts w:hint="eastAsia" w:ascii="仿宋" w:hAnsi="仿宋" w:eastAsia="仿宋"/>
          <w:sz w:val="28"/>
          <w:szCs w:val="28"/>
        </w:rPr>
        <w:t>（</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cs="Times New Roman"/>
          <w:sz w:val="28"/>
          <w:szCs w:val="28"/>
        </w:rPr>
        <w:t>4、报价单（格式参见附件1、</w:t>
      </w:r>
      <w:r>
        <w:rPr>
          <w:rFonts w:hint="eastAsia" w:ascii="仿宋" w:hAnsi="仿宋" w:eastAsia="仿宋"/>
          <w:sz w:val="28"/>
          <w:szCs w:val="28"/>
        </w:rPr>
        <w:t>加盖公章）。</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文件一式</w:t>
      </w:r>
      <w:r>
        <w:rPr>
          <w:rFonts w:hint="eastAsia" w:ascii="仿宋" w:hAnsi="仿宋" w:eastAsia="仿宋" w:cs="Times New Roman"/>
          <w:sz w:val="28"/>
          <w:szCs w:val="28"/>
          <w:lang w:val="en-US" w:eastAsia="zh-CN"/>
        </w:rPr>
        <w:t>两</w:t>
      </w:r>
      <w:r>
        <w:rPr>
          <w:rFonts w:hint="eastAsia" w:ascii="仿宋" w:hAnsi="仿宋" w:eastAsia="仿宋" w:cs="Times New Roman"/>
          <w:sz w:val="28"/>
          <w:szCs w:val="28"/>
        </w:rPr>
        <w:t>份，盖章版</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文件牢固装订成册</w:t>
      </w:r>
      <w:r>
        <w:rPr>
          <w:rFonts w:hint="eastAsia" w:ascii="仿宋" w:hAnsi="仿宋" w:eastAsia="仿宋" w:cs="Times New Roman"/>
          <w:sz w:val="28"/>
          <w:szCs w:val="28"/>
          <w:lang w:eastAsia="zh-CN"/>
        </w:rPr>
        <w:t>后</w:t>
      </w:r>
      <w:r>
        <w:rPr>
          <w:rFonts w:hint="eastAsia" w:ascii="仿宋" w:hAnsi="仿宋" w:eastAsia="仿宋" w:cs="Times New Roman"/>
          <w:sz w:val="28"/>
          <w:szCs w:val="28"/>
        </w:rPr>
        <w:t>统一密封在一个文件袋中，</w:t>
      </w:r>
      <w:r>
        <w:rPr>
          <w:rFonts w:hint="eastAsia" w:ascii="仿宋" w:hAnsi="仿宋" w:eastAsia="仿宋" w:cs="Times New Roman"/>
          <w:sz w:val="28"/>
          <w:szCs w:val="28"/>
          <w:lang w:eastAsia="zh-CN"/>
        </w:rPr>
        <w:t>文件袋</w:t>
      </w:r>
      <w:r>
        <w:rPr>
          <w:rFonts w:hint="eastAsia" w:ascii="仿宋" w:hAnsi="仿宋" w:eastAsia="仿宋" w:cs="Times New Roman"/>
          <w:sz w:val="28"/>
          <w:szCs w:val="28"/>
        </w:rPr>
        <w:t>封面注明项目名称、</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人名称、</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人联系人及联系电话，封口加盖单位印章。</w:t>
      </w:r>
      <w:r>
        <w:rPr>
          <w:rFonts w:hint="eastAsia" w:ascii="仿宋" w:hAnsi="仿宋" w:eastAsia="仿宋" w:cs="Times New Roman"/>
          <w:sz w:val="28"/>
          <w:szCs w:val="28"/>
          <w:lang w:eastAsia="zh-CN"/>
        </w:rPr>
        <w:t>所有</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在开标现场开启</w:t>
      </w:r>
      <w:r>
        <w:rPr>
          <w:rFonts w:hint="eastAsia" w:ascii="仿宋" w:hAnsi="仿宋" w:eastAsia="仿宋" w:cs="Times New Roman"/>
          <w:sz w:val="28"/>
          <w:szCs w:val="28"/>
          <w:lang w:eastAsia="zh-CN"/>
        </w:rPr>
        <w:t>，未按上述规定提交</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文件，其</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为无效</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w:t>
      </w:r>
      <w:r>
        <w:rPr>
          <w:rFonts w:hint="eastAsia" w:ascii="仿宋" w:hAnsi="仿宋" w:eastAsia="仿宋" w:cs="Times New Roman"/>
          <w:sz w:val="28"/>
          <w:szCs w:val="28"/>
          <w:lang w:eastAsia="zh-CN"/>
        </w:rPr>
        <w:t>在账户收益率报价中设置有条件报价或者产品不符合要求的，经评委一致认可后，将按照废标处理。</w:t>
      </w:r>
    </w:p>
    <w:p>
      <w:pPr>
        <w:widowControl/>
        <w:shd w:val="clear" w:color="auto" w:fill="FFFFFF"/>
        <w:spacing w:line="450" w:lineRule="atLeast"/>
        <w:ind w:firstLine="585"/>
        <w:jc w:val="lef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、评审标准</w:t>
      </w:r>
    </w:p>
    <w:p>
      <w:pPr>
        <w:widowControl/>
        <w:shd w:val="clear" w:color="auto" w:fill="FFFFFF"/>
        <w:spacing w:line="450" w:lineRule="atLeast"/>
        <w:ind w:firstLine="58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w:t>
      </w:r>
      <w:r>
        <w:rPr>
          <w:rFonts w:hint="eastAsia" w:ascii="仿宋" w:hAnsi="仿宋" w:eastAsia="仿宋" w:cs="仿宋"/>
          <w:b/>
          <w:sz w:val="28"/>
          <w:szCs w:val="28"/>
        </w:rPr>
        <w:t>本次报价</w:t>
      </w:r>
      <w:r>
        <w:rPr>
          <w:rFonts w:hint="eastAsia" w:ascii="仿宋" w:hAnsi="仿宋" w:eastAsia="仿宋" w:cs="仿宋"/>
          <w:b/>
          <w:sz w:val="28"/>
          <w:szCs w:val="28"/>
          <w:lang w:eastAsia="zh-CN"/>
        </w:rPr>
        <w:t>标段</w:t>
      </w:r>
      <w:r>
        <w:rPr>
          <w:rFonts w:hint="eastAsia" w:ascii="仿宋" w:hAnsi="仿宋" w:eastAsia="仿宋" w:cs="仿宋"/>
          <w:b/>
          <w:sz w:val="28"/>
          <w:szCs w:val="28"/>
          <w:lang w:val="en-US" w:eastAsia="zh-CN"/>
        </w:rPr>
        <w:t>1区间收益类保本型产品</w:t>
      </w:r>
      <w:r>
        <w:rPr>
          <w:rFonts w:hint="eastAsia" w:ascii="仿宋" w:hAnsi="仿宋" w:eastAsia="仿宋" w:cs="仿宋"/>
          <w:b/>
          <w:sz w:val="28"/>
          <w:szCs w:val="28"/>
          <w:lang w:eastAsia="zh-CN"/>
        </w:rPr>
        <w:t>需注明</w:t>
      </w:r>
      <w:r>
        <w:rPr>
          <w:rFonts w:hint="eastAsia" w:ascii="仿宋" w:hAnsi="仿宋" w:eastAsia="仿宋" w:cs="仿宋"/>
          <w:b/>
          <w:sz w:val="28"/>
          <w:szCs w:val="28"/>
          <w:lang w:val="en-US" w:eastAsia="zh-CN"/>
        </w:rPr>
        <w:t>具体项目</w:t>
      </w:r>
      <w:r>
        <w:rPr>
          <w:rFonts w:hint="eastAsia" w:ascii="仿宋" w:hAnsi="仿宋" w:eastAsia="仿宋" w:cs="仿宋"/>
          <w:b/>
          <w:sz w:val="28"/>
          <w:szCs w:val="28"/>
        </w:rPr>
        <w:t>名称</w:t>
      </w:r>
      <w:r>
        <w:rPr>
          <w:rFonts w:hint="eastAsia" w:ascii="仿宋" w:hAnsi="仿宋" w:eastAsia="仿宋" w:cs="仿宋"/>
          <w:b/>
          <w:sz w:val="28"/>
          <w:szCs w:val="28"/>
          <w:lang w:eastAsia="zh-CN"/>
        </w:rPr>
        <w:t>，</w:t>
      </w:r>
      <w:r>
        <w:rPr>
          <w:rFonts w:hint="eastAsia" w:ascii="仿宋" w:hAnsi="仿宋" w:eastAsia="仿宋" w:cs="仿宋"/>
          <w:b/>
          <w:sz w:val="28"/>
          <w:szCs w:val="28"/>
        </w:rPr>
        <w:t>收益率</w:t>
      </w:r>
      <w:r>
        <w:rPr>
          <w:rFonts w:hint="eastAsia" w:ascii="仿宋" w:hAnsi="仿宋" w:eastAsia="仿宋" w:cs="仿宋"/>
          <w:b/>
          <w:sz w:val="28"/>
          <w:szCs w:val="28"/>
          <w:lang w:val="en-US" w:eastAsia="zh-CN"/>
        </w:rPr>
        <w:t>只接受</w:t>
      </w:r>
      <w:r>
        <w:rPr>
          <w:rFonts w:hint="eastAsia" w:ascii="仿宋" w:hAnsi="仿宋" w:eastAsia="仿宋" w:cs="仿宋"/>
          <w:b/>
          <w:sz w:val="28"/>
          <w:szCs w:val="28"/>
        </w:rPr>
        <w:t>区间报价</w:t>
      </w:r>
      <w:r>
        <w:rPr>
          <w:rFonts w:hint="eastAsia" w:ascii="仿宋" w:hAnsi="仿宋" w:eastAsia="仿宋" w:cs="仿宋"/>
          <w:b/>
          <w:sz w:val="28"/>
          <w:szCs w:val="28"/>
          <w:lang w:eastAsia="zh-CN"/>
        </w:rPr>
        <w:t>，按区间预期收益率上限的</w:t>
      </w:r>
      <w:r>
        <w:rPr>
          <w:rFonts w:hint="eastAsia" w:ascii="仿宋" w:hAnsi="仿宋" w:eastAsia="仿宋" w:cs="仿宋"/>
          <w:b/>
          <w:sz w:val="28"/>
          <w:szCs w:val="28"/>
          <w:lang w:val="en-US" w:eastAsia="zh-CN"/>
        </w:rPr>
        <w:t>60%、下限的40%计算加权平均数作为收益率报价进行打分排名，</w:t>
      </w:r>
      <w:r>
        <w:rPr>
          <w:rFonts w:hint="eastAsia" w:ascii="仿宋" w:hAnsi="仿宋" w:eastAsia="仿宋" w:cs="仿宋"/>
          <w:b/>
          <w:sz w:val="28"/>
          <w:szCs w:val="28"/>
        </w:rPr>
        <w:t>每个标段分别推荐第一名为中选银行</w:t>
      </w:r>
      <w:r>
        <w:rPr>
          <w:rFonts w:hint="eastAsia" w:ascii="仿宋" w:hAnsi="仿宋" w:eastAsia="仿宋" w:cs="仿宋"/>
          <w:b/>
          <w:sz w:val="28"/>
          <w:szCs w:val="28"/>
          <w:lang w:val="en-US" w:eastAsia="zh-CN"/>
        </w:rPr>
        <w:t>。如报价的最高收益率相同，则以对集团的授信额度多少确定；</w:t>
      </w:r>
    </w:p>
    <w:p>
      <w:pPr>
        <w:widowControl/>
        <w:shd w:val="clear" w:color="auto" w:fill="FFFFFF"/>
        <w:spacing w:line="450" w:lineRule="atLeast"/>
        <w:ind w:firstLine="585"/>
        <w:jc w:val="left"/>
        <w:rPr>
          <w:rFonts w:hint="eastAsia"/>
          <w:lang w:val="en-US" w:eastAsia="zh-CN"/>
        </w:rPr>
      </w:pPr>
      <w:r>
        <w:rPr>
          <w:rFonts w:hint="eastAsia" w:ascii="仿宋" w:hAnsi="仿宋" w:eastAsia="仿宋" w:cs="仿宋"/>
          <w:b/>
          <w:sz w:val="28"/>
          <w:szCs w:val="28"/>
          <w:lang w:val="en-US" w:eastAsia="zh-CN"/>
        </w:rPr>
        <w:t>2、</w:t>
      </w:r>
      <w:r>
        <w:rPr>
          <w:rFonts w:hint="eastAsia" w:ascii="仿宋" w:hAnsi="仿宋" w:eastAsia="仿宋" w:cs="仿宋"/>
          <w:b/>
          <w:sz w:val="28"/>
          <w:szCs w:val="28"/>
        </w:rPr>
        <w:t>本次报价</w:t>
      </w:r>
      <w:r>
        <w:rPr>
          <w:rFonts w:hint="eastAsia" w:ascii="仿宋" w:hAnsi="仿宋" w:eastAsia="仿宋" w:cs="仿宋"/>
          <w:b/>
          <w:sz w:val="28"/>
          <w:szCs w:val="28"/>
          <w:lang w:eastAsia="zh-CN"/>
        </w:rPr>
        <w:t>标段</w:t>
      </w:r>
      <w:r>
        <w:rPr>
          <w:rFonts w:hint="eastAsia" w:ascii="仿宋" w:hAnsi="仿宋" w:eastAsia="仿宋" w:cs="仿宋"/>
          <w:b/>
          <w:sz w:val="28"/>
          <w:szCs w:val="28"/>
          <w:lang w:val="en-US" w:eastAsia="zh-CN"/>
        </w:rPr>
        <w:t>2、3灵活资金管理存款类产品</w:t>
      </w:r>
      <w:r>
        <w:rPr>
          <w:rFonts w:hint="eastAsia" w:ascii="仿宋" w:hAnsi="仿宋" w:eastAsia="仿宋" w:cs="仿宋"/>
          <w:b/>
          <w:sz w:val="28"/>
          <w:szCs w:val="28"/>
        </w:rPr>
        <w:t>需注明</w:t>
      </w:r>
      <w:r>
        <w:rPr>
          <w:rFonts w:hint="eastAsia" w:ascii="仿宋" w:hAnsi="仿宋" w:eastAsia="仿宋" w:cs="仿宋"/>
          <w:b/>
          <w:sz w:val="28"/>
          <w:szCs w:val="28"/>
          <w:lang w:val="en-US" w:eastAsia="zh-CN"/>
        </w:rPr>
        <w:t>具体项目</w:t>
      </w:r>
      <w:r>
        <w:rPr>
          <w:rFonts w:hint="eastAsia" w:ascii="仿宋" w:hAnsi="仿宋" w:eastAsia="仿宋" w:cs="仿宋"/>
          <w:b/>
          <w:sz w:val="28"/>
          <w:szCs w:val="28"/>
        </w:rPr>
        <w:t>名称</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收益率只接受单一报价，按照收益率报价，由高到低依次排名，</w:t>
      </w:r>
      <w:r>
        <w:rPr>
          <w:rFonts w:hint="eastAsia" w:ascii="仿宋" w:hAnsi="仿宋" w:eastAsia="仿宋" w:cs="仿宋"/>
          <w:b/>
          <w:sz w:val="28"/>
          <w:szCs w:val="28"/>
        </w:rPr>
        <w:t>每个标段分别推荐第一名为中选银行</w:t>
      </w:r>
      <w:r>
        <w:rPr>
          <w:rFonts w:hint="eastAsia" w:ascii="仿宋" w:hAnsi="仿宋" w:eastAsia="仿宋" w:cs="仿宋"/>
          <w:b/>
          <w:sz w:val="28"/>
          <w:szCs w:val="28"/>
          <w:lang w:val="en-US" w:eastAsia="zh-CN"/>
        </w:rPr>
        <w:t>。如报价的最高收益率相同，则以对集团的授信额度多少确定。</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七、评审办法</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1、成立评审小组，成员3人，由询价人按规定组建。</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2、若报名家数少于5家，询价人将重新发布询价文件。</w:t>
      </w:r>
    </w:p>
    <w:p>
      <w:pPr>
        <w:pStyle w:val="8"/>
        <w:keepNext w:val="0"/>
        <w:keepLines w:val="0"/>
        <w:pageBreakBefore w:val="0"/>
        <w:widowControl/>
        <w:kinsoku/>
        <w:wordWrap/>
        <w:overflowPunct/>
        <w:topLinePunct w:val="0"/>
        <w:autoSpaceDE/>
        <w:autoSpaceDN/>
        <w:bidi w:val="0"/>
        <w:adjustRightInd/>
        <w:snapToGrid/>
        <w:spacing w:before="0" w:beforeAutospacing="0" w:after="75" w:afterAutospacing="0" w:line="200" w:lineRule="atLeast"/>
        <w:ind w:firstLine="560" w:firstLineChars="200"/>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3、</w:t>
      </w:r>
      <w:r>
        <w:rPr>
          <w:rFonts w:hint="eastAsia" w:ascii="仿宋" w:hAnsi="仿宋" w:eastAsia="仿宋" w:cs="Times New Roman"/>
          <w:sz w:val="28"/>
          <w:szCs w:val="28"/>
        </w:rPr>
        <w:t>开标时按</w:t>
      </w:r>
      <w:r>
        <w:rPr>
          <w:rFonts w:hint="eastAsia" w:ascii="仿宋" w:hAnsi="仿宋" w:eastAsia="仿宋" w:cs="Times New Roman"/>
          <w:color w:val="auto"/>
          <w:kern w:val="2"/>
          <w:sz w:val="28"/>
          <w:szCs w:val="28"/>
          <w:lang w:val="en-US" w:eastAsia="zh-CN" w:bidi="ar-SA"/>
        </w:rPr>
        <w:t>1-3标段</w:t>
      </w:r>
      <w:r>
        <w:rPr>
          <w:rFonts w:hint="eastAsia" w:ascii="仿宋" w:hAnsi="仿宋" w:eastAsia="仿宋" w:cs="Times New Roman"/>
          <w:sz w:val="28"/>
          <w:szCs w:val="28"/>
        </w:rPr>
        <w:t>依次评审，报价人在前面标段已经中选的，不再推荐为后面标段的中选人。</w:t>
      </w:r>
    </w:p>
    <w:p>
      <w:pPr>
        <w:ind w:firstLine="560" w:firstLineChars="200"/>
        <w:rPr>
          <w:rFonts w:ascii="仿宋" w:hAnsi="仿宋" w:eastAsia="仿宋"/>
          <w:sz w:val="28"/>
          <w:szCs w:val="28"/>
        </w:rPr>
      </w:pPr>
      <w:r>
        <w:rPr>
          <w:rFonts w:hint="eastAsia" w:ascii="仿宋" w:hAnsi="仿宋" w:eastAsia="仿宋" w:cs="Times New Roman"/>
          <w:sz w:val="28"/>
          <w:szCs w:val="28"/>
        </w:rPr>
        <w:t>4、中选</w:t>
      </w:r>
      <w:r>
        <w:rPr>
          <w:rFonts w:hint="eastAsia" w:ascii="仿宋" w:hAnsi="仿宋" w:eastAsia="仿宋" w:cs="Times New Roman"/>
          <w:sz w:val="28"/>
          <w:szCs w:val="28"/>
          <w:lang w:val="en-US" w:eastAsia="zh-CN"/>
        </w:rPr>
        <w:t>银行及其相应份额一旦确定，应当在规定时间内尽早办理，中选银行不得以市场变化、产品调整等理由要求变更份额、预期收益率等，如出现此类情况将暂停该中选银行未来12个月的参选资格。</w:t>
      </w:r>
      <w:r>
        <w:rPr>
          <w:rFonts w:hint="eastAsia" w:ascii="仿宋" w:hAnsi="仿宋" w:eastAsia="仿宋" w:cs="Times New Roman"/>
          <w:sz w:val="28"/>
          <w:szCs w:val="28"/>
        </w:rPr>
        <w:t>询价人有权变更中选单位，由排名</w:t>
      </w:r>
      <w:r>
        <w:rPr>
          <w:rFonts w:hint="eastAsia" w:ascii="仿宋" w:hAnsi="仿宋" w:eastAsia="仿宋"/>
          <w:sz w:val="28"/>
          <w:szCs w:val="28"/>
        </w:rPr>
        <w:t>紧随其后的</w:t>
      </w:r>
      <w:r>
        <w:rPr>
          <w:rFonts w:hint="eastAsia" w:ascii="仿宋" w:hAnsi="仿宋" w:eastAsia="仿宋" w:cs="Times New Roman"/>
          <w:sz w:val="28"/>
          <w:szCs w:val="28"/>
        </w:rPr>
        <w:t>单位中选，以此类推</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5、对未中选的报价人不作落标原因的解释。</w:t>
      </w:r>
    </w:p>
    <w:p>
      <w:pPr>
        <w:rPr>
          <w:rFonts w:ascii="仿宋" w:hAnsi="仿宋" w:eastAsia="仿宋"/>
          <w:sz w:val="28"/>
          <w:szCs w:val="28"/>
        </w:rPr>
      </w:pPr>
      <w:r>
        <w:rPr>
          <w:rFonts w:hint="eastAsia" w:ascii="仿宋" w:hAnsi="仿宋" w:eastAsia="仿宋"/>
          <w:sz w:val="28"/>
          <w:szCs w:val="28"/>
        </w:rPr>
        <w:t xml:space="preserve">   询价人：南通</w:t>
      </w:r>
      <w:r>
        <w:rPr>
          <w:rFonts w:hint="eastAsia" w:ascii="仿宋" w:hAnsi="仿宋" w:eastAsia="仿宋"/>
          <w:sz w:val="28"/>
          <w:szCs w:val="28"/>
          <w:lang w:eastAsia="zh-CN"/>
        </w:rPr>
        <w:t>港集团建设投资</w:t>
      </w:r>
      <w:r>
        <w:rPr>
          <w:rFonts w:hint="eastAsia" w:ascii="仿宋" w:hAnsi="仿宋" w:eastAsia="仿宋"/>
          <w:sz w:val="28"/>
          <w:szCs w:val="28"/>
        </w:rPr>
        <w:t>有限</w:t>
      </w:r>
      <w:r>
        <w:rPr>
          <w:rFonts w:hint="eastAsia" w:ascii="仿宋" w:hAnsi="仿宋" w:eastAsia="仿宋"/>
          <w:sz w:val="28"/>
          <w:szCs w:val="28"/>
          <w:lang w:eastAsia="zh-CN"/>
        </w:rPr>
        <w:t>公司</w:t>
      </w:r>
    </w:p>
    <w:p>
      <w:pPr>
        <w:ind w:firstLine="420" w:firstLineChars="15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lang w:eastAsia="zh-CN"/>
        </w:rPr>
        <w:t>南通</w:t>
      </w:r>
      <w:r>
        <w:rPr>
          <w:rFonts w:hint="eastAsia" w:ascii="仿宋" w:hAnsi="仿宋" w:eastAsia="仿宋"/>
          <w:sz w:val="28"/>
          <w:szCs w:val="28"/>
        </w:rPr>
        <w:t>通州湾东海大道创智云坊7号楼</w:t>
      </w:r>
      <w:r>
        <w:rPr>
          <w:rFonts w:hint="eastAsia" w:ascii="仿宋" w:hAnsi="仿宋" w:eastAsia="仿宋"/>
          <w:sz w:val="28"/>
          <w:szCs w:val="28"/>
          <w:lang w:val="en-US" w:eastAsia="zh-CN"/>
        </w:rPr>
        <w:t>313室</w:t>
      </w:r>
    </w:p>
    <w:p>
      <w:pPr>
        <w:rPr>
          <w:rFonts w:hint="eastAsia" w:ascii="仿宋" w:hAnsi="仿宋" w:eastAsia="仿宋"/>
          <w:sz w:val="28"/>
          <w:szCs w:val="28"/>
          <w:lang w:eastAsia="zh-CN"/>
        </w:rPr>
      </w:pPr>
      <w:r>
        <w:rPr>
          <w:rFonts w:hint="eastAsia" w:ascii="仿宋" w:hAnsi="仿宋" w:eastAsia="仿宋"/>
          <w:sz w:val="28"/>
          <w:szCs w:val="28"/>
        </w:rPr>
        <w:t xml:space="preserve">   联系人：</w:t>
      </w:r>
      <w:r>
        <w:rPr>
          <w:rFonts w:hint="eastAsia" w:ascii="仿宋" w:hAnsi="仿宋" w:eastAsia="仿宋"/>
          <w:sz w:val="28"/>
          <w:szCs w:val="28"/>
          <w:lang w:eastAsia="zh-CN"/>
        </w:rPr>
        <w:t>陈宇</w:t>
      </w:r>
    </w:p>
    <w:p>
      <w:pPr>
        <w:ind w:firstLine="420" w:firstLineChars="150"/>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lang w:val="en-US" w:eastAsia="zh-CN"/>
        </w:rPr>
        <w:t>13962940523</w:t>
      </w:r>
      <w:r>
        <w:rPr>
          <w:rFonts w:hint="eastAsia" w:ascii="仿宋" w:hAnsi="仿宋" w:eastAsia="仿宋"/>
          <w:sz w:val="28"/>
          <w:szCs w:val="28"/>
        </w:rPr>
        <w:t xml:space="preserve">    </w:t>
      </w:r>
    </w:p>
    <w:p>
      <w:pPr>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highlight w:val="none"/>
          <w:lang w:val="en-US" w:eastAsia="zh-CN"/>
        </w:rPr>
        <w:t xml:space="preserve">  </w:t>
      </w:r>
      <w:r>
        <w:rPr>
          <w:rFonts w:hint="eastAsia" w:ascii="仿宋" w:hAnsi="仿宋" w:eastAsia="仿宋"/>
          <w:sz w:val="28"/>
          <w:szCs w:val="28"/>
          <w:highlight w:val="none"/>
        </w:rPr>
        <w:t xml:space="preserve"> 202</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12</w:t>
      </w:r>
      <w:bookmarkStart w:id="0" w:name="_GoBack"/>
      <w:bookmarkEnd w:id="0"/>
      <w:r>
        <w:rPr>
          <w:rFonts w:hint="eastAsia" w:ascii="仿宋" w:hAnsi="仿宋" w:eastAsia="仿宋"/>
          <w:sz w:val="28"/>
          <w:szCs w:val="28"/>
          <w:highlight w:val="none"/>
        </w:rPr>
        <w:t xml:space="preserve">日 </w:t>
      </w:r>
      <w:r>
        <w:rPr>
          <w:rFonts w:hint="eastAsia" w:ascii="仿宋" w:hAnsi="仿宋" w:eastAsia="仿宋"/>
          <w:sz w:val="28"/>
          <w:szCs w:val="28"/>
        </w:rPr>
        <w:t xml:space="preserve">  </w:t>
      </w:r>
    </w:p>
    <w:p>
      <w:pPr>
        <w:pStyle w:val="5"/>
        <w:shd w:val="clear" w:color="auto" w:fill="FDFEFF"/>
        <w:spacing w:beforeLines="100" w:afterLines="100" w:line="560" w:lineRule="exact"/>
        <w:rPr>
          <w:rFonts w:hint="eastAsia" w:cs="Times New Roman" w:asciiTheme="majorEastAsia" w:hAnsiTheme="majorEastAsia" w:eastAsiaTheme="majorEastAsia"/>
          <w:sz w:val="24"/>
          <w:szCs w:val="24"/>
        </w:rPr>
      </w:pPr>
    </w:p>
    <w:p>
      <w:pPr>
        <w:rPr>
          <w:rFonts w:hint="eastAsia"/>
        </w:rPr>
      </w:pPr>
    </w:p>
    <w:p>
      <w:pPr>
        <w:pStyle w:val="5"/>
        <w:shd w:val="clear" w:color="auto" w:fill="FDFEFF"/>
        <w:spacing w:beforeLines="100" w:afterLines="100" w:line="560" w:lineRule="exac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附件1：</w:t>
      </w:r>
      <w:r>
        <w:rPr>
          <w:rFonts w:cs="Times New Roman" w:asciiTheme="majorEastAsia" w:hAnsiTheme="majorEastAsia" w:eastAsiaTheme="majorEastAsia"/>
          <w:sz w:val="24"/>
          <w:szCs w:val="24"/>
        </w:rPr>
        <w:t xml:space="preserve"> </w:t>
      </w:r>
    </w:p>
    <w:p>
      <w:pPr>
        <w:pStyle w:val="6"/>
        <w:spacing w:before="111" w:beforeLines="35" w:beforeAutospacing="0" w:line="360" w:lineRule="auto"/>
        <w:ind w:firstLine="0" w:firstLineChars="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6"/>
        <w:spacing w:line="360" w:lineRule="auto"/>
        <w:ind w:left="0" w:leftChars="0" w:firstLine="0" w:firstLineChars="0"/>
        <w:jc w:val="left"/>
        <w:rPr>
          <w:rFonts w:hint="eastAsia" w:ascii="仿宋" w:hAnsi="仿宋" w:eastAsia="仿宋"/>
          <w:color w:val="000000"/>
          <w:sz w:val="30"/>
          <w:szCs w:val="30"/>
          <w:highlight w:val="none"/>
        </w:rPr>
      </w:pPr>
      <w:r>
        <w:rPr>
          <w:rFonts w:hint="eastAsia" w:ascii="仿宋" w:hAnsi="仿宋" w:eastAsia="仿宋"/>
          <w:color w:val="000000"/>
          <w:sz w:val="30"/>
          <w:szCs w:val="30"/>
          <w:highlight w:val="none"/>
        </w:rPr>
        <w:t>致南通港集团建设投资有限公司：</w:t>
      </w:r>
    </w:p>
    <w:p>
      <w:pPr>
        <w:pStyle w:val="6"/>
        <w:spacing w:line="360" w:lineRule="auto"/>
        <w:ind w:firstLine="560"/>
        <w:jc w:val="left"/>
        <w:rPr>
          <w:rFonts w:hint="eastAsia" w:ascii="仿宋" w:hAnsi="仿宋" w:eastAsia="仿宋"/>
          <w:b/>
          <w:bCs/>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sz w:val="28"/>
          <w:szCs w:val="28"/>
        </w:rPr>
        <w:t>承诺以以下收益率作为</w:t>
      </w:r>
      <w:r>
        <w:rPr>
          <w:rFonts w:hint="eastAsia" w:ascii="仿宋" w:hAnsi="仿宋" w:eastAsia="仿宋" w:cs="仿宋"/>
          <w:b/>
          <w:sz w:val="28"/>
          <w:szCs w:val="28"/>
          <w:lang w:val="en-US" w:eastAsia="zh-CN"/>
        </w:rPr>
        <w:t>区间收益类</w:t>
      </w:r>
      <w:r>
        <w:rPr>
          <w:rFonts w:hint="eastAsia" w:ascii="仿宋" w:hAnsi="仿宋" w:eastAsia="仿宋"/>
          <w:b/>
          <w:bCs/>
          <w:sz w:val="28"/>
          <w:szCs w:val="28"/>
          <w:lang w:eastAsia="zh-CN"/>
        </w:rPr>
        <w:t>保本型产品</w:t>
      </w:r>
      <w:r>
        <w:rPr>
          <w:rFonts w:hint="eastAsia" w:ascii="仿宋" w:hAnsi="仿宋" w:eastAsia="仿宋"/>
          <w:b/>
          <w:bCs/>
          <w:sz w:val="28"/>
          <w:szCs w:val="28"/>
        </w:rPr>
        <w:t>收益率。</w:t>
      </w:r>
    </w:p>
    <w:p>
      <w:pPr>
        <w:pStyle w:val="6"/>
        <w:spacing w:line="360" w:lineRule="auto"/>
        <w:jc w:val="left"/>
        <w:rPr>
          <w:rFonts w:hint="eastAsia" w:ascii="仿宋" w:hAnsi="仿宋" w:eastAsia="仿宋" w:cs="宋体"/>
          <w:b/>
          <w:color w:val="000000"/>
          <w:kern w:val="0"/>
          <w:sz w:val="28"/>
          <w:szCs w:val="28"/>
          <w:lang w:val="en-US" w:eastAsia="zh-CN"/>
        </w:rPr>
      </w:pPr>
      <w:r>
        <w:rPr>
          <w:rFonts w:hint="eastAsia" w:ascii="仿宋" w:hAnsi="仿宋" w:eastAsia="仿宋"/>
          <w:b/>
          <w:bCs/>
          <w:sz w:val="28"/>
          <w:szCs w:val="28"/>
        </w:rPr>
        <w:t>标段</w:t>
      </w:r>
      <w:r>
        <w:rPr>
          <w:rFonts w:hint="eastAsia" w:ascii="仿宋" w:hAnsi="仿宋" w:eastAsia="仿宋"/>
          <w:b/>
          <w:bCs/>
          <w:sz w:val="28"/>
          <w:szCs w:val="28"/>
          <w:lang w:val="en-US" w:eastAsia="zh-CN"/>
        </w:rPr>
        <w:t>1</w:t>
      </w:r>
      <w:r>
        <w:rPr>
          <w:rFonts w:hint="eastAsia" w:ascii="仿宋" w:hAnsi="仿宋" w:eastAsia="仿宋"/>
          <w:b/>
          <w:bCs/>
          <w:sz w:val="28"/>
          <w:szCs w:val="28"/>
        </w:rPr>
        <w:t>：</w:t>
      </w:r>
      <w:r>
        <w:rPr>
          <w:rFonts w:hint="eastAsia" w:ascii="仿宋" w:hAnsi="仿宋" w:eastAsia="仿宋"/>
          <w:b/>
          <w:bCs/>
          <w:sz w:val="28"/>
          <w:szCs w:val="28"/>
          <w:lang w:val="en-US" w:eastAsia="zh-CN"/>
        </w:rPr>
        <w:t xml:space="preserve"> 7000万元</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6个月</w:t>
      </w:r>
      <w:r>
        <w:rPr>
          <w:rFonts w:hint="eastAsia" w:ascii="仿宋" w:hAnsi="仿宋" w:eastAsia="仿宋" w:cs="宋体"/>
          <w:b/>
          <w:color w:val="000000"/>
          <w:kern w:val="0"/>
          <w:sz w:val="28"/>
          <w:szCs w:val="28"/>
          <w:lang w:val="en-US" w:eastAsia="zh-CN"/>
        </w:rPr>
        <w:t>区间收益类保本型产品</w:t>
      </w:r>
    </w:p>
    <w:p>
      <w:pPr>
        <w:pStyle w:val="6"/>
        <w:spacing w:line="360" w:lineRule="auto"/>
        <w:jc w:val="left"/>
        <w:rPr>
          <w:rFonts w:hint="eastAsia" w:ascii="仿宋" w:hAnsi="仿宋" w:eastAsia="仿宋"/>
          <w:b/>
          <w:bCs/>
          <w:sz w:val="28"/>
          <w:szCs w:val="28"/>
          <w:lang w:eastAsia="zh-CN"/>
        </w:rPr>
      </w:pPr>
      <w:r>
        <w:rPr>
          <w:rFonts w:hint="eastAsia" w:ascii="仿宋" w:hAnsi="仿宋" w:eastAsia="仿宋"/>
          <w:b/>
          <w:bCs/>
          <w:sz w:val="28"/>
          <w:szCs w:val="28"/>
        </w:rPr>
        <w:t>名称为____________________、收益率为_______________</w:t>
      </w:r>
      <w:r>
        <w:rPr>
          <w:rFonts w:hint="eastAsia" w:ascii="仿宋" w:hAnsi="仿宋" w:eastAsia="仿宋"/>
          <w:b/>
          <w:bCs/>
          <w:sz w:val="28"/>
          <w:szCs w:val="28"/>
          <w:lang w:eastAsia="zh-CN"/>
        </w:rPr>
        <w:t>。</w:t>
      </w:r>
    </w:p>
    <w:p>
      <w:pPr>
        <w:pStyle w:val="6"/>
        <w:spacing w:line="560" w:lineRule="exact"/>
        <w:ind w:firstLine="60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如需办理紧急业务，我行保证开辟绿色通道确保在最短时限内办理完结。免收招标方银行手续费、回单箱年费等银行业务费用。</w:t>
      </w:r>
    </w:p>
    <w:p>
      <w:pPr>
        <w:pStyle w:val="6"/>
        <w:spacing w:line="360" w:lineRule="auto"/>
        <w:ind w:firstLine="560"/>
        <w:jc w:val="left"/>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autoSpaceDN w:val="0"/>
        <w:spacing w:line="360" w:lineRule="auto"/>
        <w:jc w:val="left"/>
        <w:rPr>
          <w:rFonts w:hint="eastAsia"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autoSpaceDN w:val="0"/>
        <w:spacing w:line="360" w:lineRule="auto"/>
        <w:jc w:val="left"/>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autoSpaceDN w:val="0"/>
        <w:spacing w:line="560" w:lineRule="exact"/>
        <w:jc w:val="left"/>
        <w:rPr>
          <w:rFonts w:hint="eastAsia" w:ascii="仿宋" w:hAnsi="仿宋" w:eastAsia="仿宋" w:cs="Times New Roman"/>
          <w:sz w:val="28"/>
          <w:szCs w:val="28"/>
        </w:rPr>
      </w:pPr>
      <w:r>
        <w:rPr>
          <w:rFonts w:hint="eastAsia" w:ascii="仿宋" w:hAnsi="仿宋" w:eastAsia="仿宋" w:cs="Times New Roman"/>
          <w:sz w:val="28"/>
          <w:szCs w:val="28"/>
        </w:rPr>
        <w:t>邮政编码：</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联系电话：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日期：</w:t>
      </w:r>
    </w:p>
    <w:p>
      <w:pPr>
        <w:pStyle w:val="2"/>
        <w:rPr>
          <w:rFonts w:hint="eastAsia" w:ascii="仿宋" w:hAnsi="仿宋" w:eastAsia="仿宋" w:cs="Times New Roman"/>
          <w:sz w:val="28"/>
          <w:szCs w:val="28"/>
        </w:rPr>
      </w:pPr>
    </w:p>
    <w:p>
      <w:pPr>
        <w:pStyle w:val="5"/>
        <w:pageBreakBefore w:val="0"/>
        <w:widowControl w:val="0"/>
        <w:shd w:val="clear" w:color="auto" w:fill="FDFEFF"/>
        <w:kinsoku/>
        <w:wordWrap/>
        <w:overflowPunct/>
        <w:topLinePunct w:val="0"/>
        <w:autoSpaceDE/>
        <w:bidi w:val="0"/>
        <w:adjustRightInd/>
        <w:snapToGrid/>
        <w:spacing w:before="111" w:beforeLines="35" w:beforeAutospacing="0" w:after="0" w:afterAutospacing="0" w:line="192" w:lineRule="auto"/>
        <w:textAlignment w:val="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8"/>
          <w:szCs w:val="28"/>
          <w:lang w:val="en-US" w:eastAsia="zh-CN"/>
        </w:rPr>
        <w:t xml:space="preserve"> </w:t>
      </w:r>
      <w:r>
        <w:rPr>
          <w:rFonts w:hint="eastAsia" w:cs="Times New Roman" w:asciiTheme="majorEastAsia" w:hAnsiTheme="majorEastAsia" w:eastAsiaTheme="majorEastAsia"/>
          <w:sz w:val="24"/>
          <w:szCs w:val="24"/>
        </w:rPr>
        <w:t>附件</w:t>
      </w:r>
      <w:r>
        <w:rPr>
          <w:rFonts w:hint="eastAsia" w:cs="Times New Roman" w:asciiTheme="majorEastAsia" w:hAnsiTheme="majorEastAsia" w:eastAsiaTheme="majorEastAsia"/>
          <w:sz w:val="24"/>
          <w:szCs w:val="24"/>
          <w:lang w:val="en-US" w:eastAsia="zh-CN"/>
        </w:rPr>
        <w:t>2</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 xml:space="preserve"> </w:t>
      </w:r>
    </w:p>
    <w:p>
      <w:pPr>
        <w:pStyle w:val="6"/>
        <w:keepNext w:val="0"/>
        <w:keepLines w:val="0"/>
        <w:pageBreakBefore w:val="0"/>
        <w:widowControl w:val="0"/>
        <w:kinsoku/>
        <w:wordWrap/>
        <w:overflowPunct/>
        <w:topLinePunct w:val="0"/>
        <w:autoSpaceDE/>
        <w:bidi w:val="0"/>
        <w:adjustRightInd/>
        <w:snapToGrid/>
        <w:spacing w:before="111" w:beforeLines="35" w:beforeAutospacing="0" w:line="240" w:lineRule="atLeast"/>
        <w:ind w:firstLine="0" w:firstLineChars="0"/>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6"/>
        <w:spacing w:line="360" w:lineRule="auto"/>
        <w:ind w:left="0" w:leftChars="0" w:firstLine="0" w:firstLineChars="0"/>
        <w:jc w:val="left"/>
        <w:rPr>
          <w:rFonts w:hint="eastAsia" w:ascii="仿宋" w:hAnsi="仿宋" w:eastAsia="仿宋"/>
          <w:color w:val="000000"/>
          <w:sz w:val="30"/>
          <w:szCs w:val="30"/>
          <w:highlight w:val="none"/>
        </w:rPr>
      </w:pPr>
      <w:r>
        <w:rPr>
          <w:rFonts w:hint="eastAsia" w:ascii="仿宋" w:hAnsi="仿宋" w:eastAsia="仿宋"/>
          <w:color w:val="000000"/>
          <w:sz w:val="30"/>
          <w:szCs w:val="30"/>
          <w:highlight w:val="none"/>
        </w:rPr>
        <w:t>致南通港集团建设投资有限公司：</w:t>
      </w:r>
    </w:p>
    <w:p>
      <w:pPr>
        <w:pStyle w:val="6"/>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b/>
          <w:bCs w:val="0"/>
          <w:color w:val="auto"/>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val="0"/>
          <w:color w:val="auto"/>
          <w:sz w:val="28"/>
          <w:szCs w:val="28"/>
        </w:rPr>
        <w:t>承诺以以下收益率作为</w:t>
      </w:r>
      <w:r>
        <w:rPr>
          <w:rFonts w:hint="eastAsia" w:ascii="仿宋" w:hAnsi="仿宋" w:eastAsia="仿宋"/>
          <w:b/>
          <w:bCs w:val="0"/>
          <w:color w:val="auto"/>
          <w:sz w:val="28"/>
          <w:szCs w:val="28"/>
          <w:lang w:eastAsia="zh-CN"/>
        </w:rPr>
        <w:t>灵活资金管理存款类产品</w:t>
      </w:r>
      <w:r>
        <w:rPr>
          <w:rFonts w:hint="eastAsia" w:ascii="仿宋" w:hAnsi="仿宋" w:eastAsia="仿宋"/>
          <w:b/>
          <w:bCs w:val="0"/>
          <w:color w:val="auto"/>
          <w:sz w:val="28"/>
          <w:szCs w:val="28"/>
        </w:rPr>
        <w:t>收益率。</w:t>
      </w:r>
    </w:p>
    <w:p>
      <w:pPr>
        <w:pStyle w:val="6"/>
        <w:keepNext w:val="0"/>
        <w:keepLines w:val="0"/>
        <w:pageBreakBefore w:val="0"/>
        <w:widowControl w:val="0"/>
        <w:kinsoku/>
        <w:wordWrap/>
        <w:overflowPunct/>
        <w:topLinePunct w:val="0"/>
        <w:autoSpaceDE/>
        <w:bidi w:val="0"/>
        <w:adjustRightInd/>
        <w:snapToGrid/>
        <w:spacing w:line="240" w:lineRule="atLeast"/>
        <w:ind w:firstLine="562" w:firstLineChars="200"/>
        <w:jc w:val="left"/>
        <w:textAlignment w:val="auto"/>
        <w:rPr>
          <w:rFonts w:hint="eastAsia" w:ascii="仿宋" w:hAnsi="仿宋" w:eastAsia="仿宋" w:cs="宋体"/>
          <w:b/>
          <w:color w:val="000000"/>
          <w:kern w:val="0"/>
          <w:sz w:val="28"/>
          <w:szCs w:val="28"/>
          <w:lang w:val="en-US" w:eastAsia="zh-CN"/>
        </w:rPr>
      </w:pPr>
      <w:r>
        <w:rPr>
          <w:rFonts w:hint="eastAsia" w:ascii="仿宋" w:hAnsi="仿宋" w:eastAsia="仿宋"/>
          <w:b/>
          <w:bCs/>
          <w:sz w:val="28"/>
          <w:szCs w:val="28"/>
        </w:rPr>
        <w:t>标段</w:t>
      </w:r>
      <w:r>
        <w:rPr>
          <w:rFonts w:hint="eastAsia" w:ascii="仿宋" w:hAnsi="仿宋" w:eastAsia="仿宋"/>
          <w:b/>
          <w:bCs/>
          <w:sz w:val="28"/>
          <w:szCs w:val="28"/>
          <w:lang w:val="en-US" w:eastAsia="zh-CN"/>
        </w:rPr>
        <w:t>2</w:t>
      </w:r>
      <w:r>
        <w:rPr>
          <w:rFonts w:hint="eastAsia" w:ascii="仿宋" w:hAnsi="仿宋" w:eastAsia="仿宋"/>
          <w:b/>
          <w:bCs/>
          <w:sz w:val="28"/>
          <w:szCs w:val="28"/>
        </w:rPr>
        <w:t>：</w:t>
      </w:r>
      <w:r>
        <w:rPr>
          <w:rFonts w:hint="eastAsia" w:ascii="仿宋" w:hAnsi="仿宋" w:eastAsia="仿宋"/>
          <w:b/>
          <w:bCs/>
          <w:sz w:val="28"/>
          <w:szCs w:val="28"/>
          <w:lang w:val="en-US" w:eastAsia="zh-CN"/>
        </w:rPr>
        <w:t xml:space="preserve"> 3000万</w:t>
      </w:r>
      <w:r>
        <w:rPr>
          <w:rFonts w:hint="eastAsia" w:ascii="仿宋" w:hAnsi="仿宋" w:eastAsia="仿宋"/>
          <w:b/>
          <w:bCs/>
          <w:sz w:val="28"/>
          <w:szCs w:val="28"/>
        </w:rPr>
        <w:t>元</w:t>
      </w:r>
      <w:r>
        <w:rPr>
          <w:rFonts w:hint="eastAsia" w:ascii="仿宋" w:hAnsi="仿宋" w:eastAsia="仿宋" w:cs="宋体"/>
          <w:b/>
          <w:color w:val="000000"/>
          <w:kern w:val="0"/>
          <w:sz w:val="28"/>
          <w:szCs w:val="28"/>
          <w:lang w:val="en-US" w:eastAsia="zh-CN"/>
        </w:rPr>
        <w:t>灵活资金管理存款类产品</w:t>
      </w:r>
    </w:p>
    <w:p>
      <w:pPr>
        <w:pStyle w:val="6"/>
        <w:keepNext w:val="0"/>
        <w:keepLines w:val="0"/>
        <w:pageBreakBefore w:val="0"/>
        <w:widowControl w:val="0"/>
        <w:kinsoku/>
        <w:wordWrap/>
        <w:overflowPunct/>
        <w:topLinePunct w:val="0"/>
        <w:autoSpaceDE/>
        <w:bidi w:val="0"/>
        <w:adjustRightInd/>
        <w:snapToGrid/>
        <w:spacing w:line="240" w:lineRule="atLeast"/>
        <w:ind w:left="0" w:leftChars="0" w:firstLine="562" w:firstLineChars="200"/>
        <w:jc w:val="left"/>
        <w:textAlignment w:val="auto"/>
        <w:rPr>
          <w:rFonts w:ascii="仿宋" w:hAnsi="仿宋" w:eastAsia="仿宋"/>
          <w:b/>
          <w:bCs/>
          <w:sz w:val="28"/>
          <w:szCs w:val="28"/>
        </w:rPr>
      </w:pPr>
      <w:r>
        <w:rPr>
          <w:rFonts w:hint="eastAsia" w:ascii="仿宋" w:hAnsi="仿宋" w:eastAsia="仿宋"/>
          <w:b/>
          <w:bCs/>
          <w:sz w:val="28"/>
          <w:szCs w:val="28"/>
        </w:rPr>
        <w:t>名称为_________________、收益率为_______________；</w:t>
      </w:r>
    </w:p>
    <w:p>
      <w:pPr>
        <w:pStyle w:val="6"/>
        <w:spacing w:line="560" w:lineRule="exact"/>
        <w:ind w:firstLine="60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如需办理紧急业务，我行保证开辟绿色通道确保在最短时限内办理完结。免收招标方银行手续费、回单箱年费等银行业务费用。</w:t>
      </w:r>
    </w:p>
    <w:p>
      <w:pPr>
        <w:pStyle w:val="6"/>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keepNext w:val="0"/>
        <w:keepLines w:val="0"/>
        <w:pageBreakBefore w:val="0"/>
        <w:widowControl w:val="0"/>
        <w:kinsoku/>
        <w:wordWrap/>
        <w:overflowPunct/>
        <w:topLinePunct w:val="0"/>
        <w:autoSpaceDE/>
        <w:autoSpaceDN w:val="0"/>
        <w:bidi w:val="0"/>
        <w:adjustRightInd/>
        <w:snapToGrid/>
        <w:spacing w:line="240" w:lineRule="atLeast"/>
        <w:ind w:firstLine="560" w:firstLineChars="200"/>
        <w:jc w:val="left"/>
        <w:textAlignment w:val="auto"/>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hint="eastAsia"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hint="eastAsia" w:cs="Times New Roman" w:asciiTheme="majorEastAsia" w:hAnsiTheme="majorEastAsia" w:eastAsiaTheme="majorEastAsia"/>
          <w:sz w:val="28"/>
          <w:szCs w:val="28"/>
          <w:lang w:val="en-US" w:eastAsia="zh-CN"/>
        </w:rPr>
      </w:pPr>
      <w:r>
        <w:rPr>
          <w:rFonts w:hint="eastAsia" w:ascii="仿宋" w:hAnsi="仿宋" w:eastAsia="仿宋" w:cs="Times New Roman"/>
          <w:sz w:val="28"/>
          <w:szCs w:val="28"/>
        </w:rPr>
        <w:t>邮政编码：</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联系电话：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日期：</w:t>
      </w:r>
      <w:r>
        <w:rPr>
          <w:rFonts w:hint="eastAsia" w:cs="Times New Roman" w:asciiTheme="majorEastAsia" w:hAnsiTheme="majorEastAsia" w:eastAsiaTheme="majorEastAsia"/>
          <w:sz w:val="28"/>
          <w:szCs w:val="28"/>
          <w:lang w:val="en-US" w:eastAsia="zh-CN"/>
        </w:rPr>
        <w:t xml:space="preserve">     </w:t>
      </w:r>
    </w:p>
    <w:p>
      <w:pPr>
        <w:pStyle w:val="2"/>
        <w:rPr>
          <w:rFonts w:hint="eastAsia" w:cs="Times New Roman" w:asciiTheme="majorEastAsia" w:hAnsiTheme="majorEastAsia" w:eastAsiaTheme="majorEastAsia"/>
          <w:sz w:val="28"/>
          <w:szCs w:val="28"/>
          <w:lang w:val="en-US" w:eastAsia="zh-CN"/>
        </w:rPr>
      </w:pPr>
    </w:p>
    <w:p>
      <w:pPr>
        <w:pStyle w:val="5"/>
        <w:pageBreakBefore w:val="0"/>
        <w:widowControl w:val="0"/>
        <w:shd w:val="clear" w:color="auto" w:fill="FDFEFF"/>
        <w:kinsoku/>
        <w:wordWrap/>
        <w:overflowPunct/>
        <w:topLinePunct w:val="0"/>
        <w:autoSpaceDE/>
        <w:bidi w:val="0"/>
        <w:adjustRightInd/>
        <w:snapToGrid/>
        <w:spacing w:before="111" w:beforeLines="35" w:beforeAutospacing="0" w:after="0" w:afterAutospacing="0" w:line="192" w:lineRule="auto"/>
        <w:textAlignment w:val="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8"/>
          <w:szCs w:val="28"/>
          <w:lang w:val="en-US" w:eastAsia="zh-CN"/>
        </w:rPr>
        <w:t xml:space="preserve"> </w:t>
      </w:r>
      <w:r>
        <w:rPr>
          <w:rFonts w:hint="eastAsia" w:cs="Times New Roman" w:asciiTheme="majorEastAsia" w:hAnsiTheme="majorEastAsia" w:eastAsiaTheme="majorEastAsia"/>
          <w:sz w:val="24"/>
          <w:szCs w:val="24"/>
        </w:rPr>
        <w:t>附件</w:t>
      </w:r>
      <w:r>
        <w:rPr>
          <w:rFonts w:hint="eastAsia" w:cs="Times New Roman" w:asciiTheme="majorEastAsia" w:hAnsiTheme="majorEastAsia" w:eastAsiaTheme="majorEastAsia"/>
          <w:sz w:val="24"/>
          <w:szCs w:val="24"/>
          <w:lang w:val="en-US" w:eastAsia="zh-CN"/>
        </w:rPr>
        <w:t>3</w:t>
      </w:r>
      <w:r>
        <w:rPr>
          <w:rFonts w:hint="eastAsia" w:cs="Times New Roman" w:asciiTheme="majorEastAsia" w:hAnsiTheme="majorEastAsia" w:eastAsiaTheme="majorEastAsia"/>
          <w:sz w:val="24"/>
          <w:szCs w:val="24"/>
        </w:rPr>
        <w:t>：</w:t>
      </w:r>
      <w:r>
        <w:rPr>
          <w:rFonts w:cs="Times New Roman" w:asciiTheme="majorEastAsia" w:hAnsiTheme="majorEastAsia" w:eastAsiaTheme="majorEastAsia"/>
          <w:sz w:val="24"/>
          <w:szCs w:val="24"/>
        </w:rPr>
        <w:t xml:space="preserve"> </w:t>
      </w:r>
    </w:p>
    <w:p>
      <w:pPr>
        <w:pStyle w:val="6"/>
        <w:keepNext w:val="0"/>
        <w:keepLines w:val="0"/>
        <w:pageBreakBefore w:val="0"/>
        <w:widowControl w:val="0"/>
        <w:kinsoku/>
        <w:wordWrap/>
        <w:overflowPunct/>
        <w:topLinePunct w:val="0"/>
        <w:autoSpaceDE/>
        <w:bidi w:val="0"/>
        <w:adjustRightInd/>
        <w:snapToGrid/>
        <w:spacing w:before="111" w:beforeLines="35" w:beforeAutospacing="0" w:line="240" w:lineRule="atLeast"/>
        <w:ind w:firstLine="0" w:firstLineChars="0"/>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6"/>
        <w:spacing w:line="360" w:lineRule="auto"/>
        <w:ind w:left="0" w:leftChars="0" w:firstLine="0" w:firstLineChars="0"/>
        <w:jc w:val="left"/>
        <w:rPr>
          <w:rFonts w:hint="eastAsia" w:ascii="仿宋" w:hAnsi="仿宋" w:eastAsia="仿宋"/>
          <w:color w:val="000000"/>
          <w:sz w:val="30"/>
          <w:szCs w:val="30"/>
          <w:highlight w:val="none"/>
        </w:rPr>
      </w:pPr>
      <w:r>
        <w:rPr>
          <w:rFonts w:hint="eastAsia" w:ascii="仿宋" w:hAnsi="仿宋" w:eastAsia="仿宋"/>
          <w:color w:val="000000"/>
          <w:sz w:val="30"/>
          <w:szCs w:val="30"/>
          <w:highlight w:val="none"/>
        </w:rPr>
        <w:t>致南通港集团建设投资有限公司：</w:t>
      </w:r>
    </w:p>
    <w:p>
      <w:pPr>
        <w:pStyle w:val="6"/>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b/>
          <w:bCs w:val="0"/>
          <w:color w:val="auto"/>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val="0"/>
          <w:color w:val="auto"/>
          <w:sz w:val="28"/>
          <w:szCs w:val="28"/>
        </w:rPr>
        <w:t>承诺以以下收益率作为</w:t>
      </w:r>
      <w:r>
        <w:rPr>
          <w:rFonts w:hint="eastAsia" w:ascii="仿宋" w:hAnsi="仿宋" w:eastAsia="仿宋"/>
          <w:b/>
          <w:bCs w:val="0"/>
          <w:color w:val="auto"/>
          <w:sz w:val="28"/>
          <w:szCs w:val="28"/>
          <w:lang w:eastAsia="zh-CN"/>
        </w:rPr>
        <w:t>灵活资金管理存款类产品</w:t>
      </w:r>
      <w:r>
        <w:rPr>
          <w:rFonts w:hint="eastAsia" w:ascii="仿宋" w:hAnsi="仿宋" w:eastAsia="仿宋"/>
          <w:b/>
          <w:bCs w:val="0"/>
          <w:color w:val="auto"/>
          <w:sz w:val="28"/>
          <w:szCs w:val="28"/>
        </w:rPr>
        <w:t>收益率。</w:t>
      </w:r>
    </w:p>
    <w:p>
      <w:pPr>
        <w:pStyle w:val="6"/>
        <w:keepNext w:val="0"/>
        <w:keepLines w:val="0"/>
        <w:pageBreakBefore w:val="0"/>
        <w:widowControl w:val="0"/>
        <w:kinsoku/>
        <w:wordWrap/>
        <w:overflowPunct/>
        <w:topLinePunct w:val="0"/>
        <w:autoSpaceDE/>
        <w:bidi w:val="0"/>
        <w:adjustRightInd/>
        <w:snapToGrid/>
        <w:spacing w:line="240" w:lineRule="atLeast"/>
        <w:ind w:firstLine="562" w:firstLineChars="200"/>
        <w:jc w:val="left"/>
        <w:textAlignment w:val="auto"/>
        <w:rPr>
          <w:rFonts w:hint="eastAsia" w:ascii="仿宋" w:hAnsi="仿宋" w:eastAsia="仿宋" w:cs="宋体"/>
          <w:b/>
          <w:color w:val="000000"/>
          <w:kern w:val="0"/>
          <w:sz w:val="28"/>
          <w:szCs w:val="28"/>
          <w:lang w:val="en-US" w:eastAsia="zh-CN"/>
        </w:rPr>
      </w:pPr>
      <w:r>
        <w:rPr>
          <w:rFonts w:hint="eastAsia" w:ascii="仿宋" w:hAnsi="仿宋" w:eastAsia="仿宋"/>
          <w:b/>
          <w:bCs/>
          <w:sz w:val="28"/>
          <w:szCs w:val="28"/>
        </w:rPr>
        <w:t>标段</w:t>
      </w:r>
      <w:r>
        <w:rPr>
          <w:rFonts w:hint="eastAsia" w:ascii="仿宋" w:hAnsi="仿宋" w:eastAsia="仿宋"/>
          <w:b/>
          <w:bCs/>
          <w:sz w:val="28"/>
          <w:szCs w:val="28"/>
          <w:lang w:val="en-US" w:eastAsia="zh-CN"/>
        </w:rPr>
        <w:t>3</w:t>
      </w:r>
      <w:r>
        <w:rPr>
          <w:rFonts w:hint="eastAsia" w:ascii="仿宋" w:hAnsi="仿宋" w:eastAsia="仿宋"/>
          <w:b/>
          <w:bCs/>
          <w:sz w:val="28"/>
          <w:szCs w:val="28"/>
        </w:rPr>
        <w:t>：</w:t>
      </w:r>
      <w:r>
        <w:rPr>
          <w:rFonts w:hint="eastAsia" w:ascii="仿宋" w:hAnsi="仿宋" w:eastAsia="仿宋"/>
          <w:b/>
          <w:bCs/>
          <w:sz w:val="28"/>
          <w:szCs w:val="28"/>
          <w:lang w:val="en-US" w:eastAsia="zh-CN"/>
        </w:rPr>
        <w:t xml:space="preserve"> 12000万</w:t>
      </w:r>
      <w:r>
        <w:rPr>
          <w:rFonts w:hint="eastAsia" w:ascii="仿宋" w:hAnsi="仿宋" w:eastAsia="仿宋"/>
          <w:b/>
          <w:bCs/>
          <w:sz w:val="28"/>
          <w:szCs w:val="28"/>
        </w:rPr>
        <w:t>元</w:t>
      </w:r>
      <w:r>
        <w:rPr>
          <w:rFonts w:hint="eastAsia" w:ascii="仿宋" w:hAnsi="仿宋" w:eastAsia="仿宋" w:cs="宋体"/>
          <w:b/>
          <w:color w:val="000000"/>
          <w:kern w:val="0"/>
          <w:sz w:val="28"/>
          <w:szCs w:val="28"/>
          <w:lang w:val="en-US" w:eastAsia="zh-CN"/>
        </w:rPr>
        <w:t>灵活资金管理存款类产品</w:t>
      </w:r>
    </w:p>
    <w:p>
      <w:pPr>
        <w:pStyle w:val="6"/>
        <w:keepNext w:val="0"/>
        <w:keepLines w:val="0"/>
        <w:pageBreakBefore w:val="0"/>
        <w:widowControl w:val="0"/>
        <w:kinsoku/>
        <w:wordWrap/>
        <w:overflowPunct/>
        <w:topLinePunct w:val="0"/>
        <w:autoSpaceDE/>
        <w:bidi w:val="0"/>
        <w:adjustRightInd/>
        <w:snapToGrid/>
        <w:spacing w:line="240" w:lineRule="atLeast"/>
        <w:ind w:left="0" w:leftChars="0" w:firstLine="562" w:firstLineChars="200"/>
        <w:jc w:val="left"/>
        <w:textAlignment w:val="auto"/>
        <w:rPr>
          <w:rFonts w:ascii="仿宋" w:hAnsi="仿宋" w:eastAsia="仿宋"/>
          <w:b/>
          <w:bCs/>
          <w:sz w:val="28"/>
          <w:szCs w:val="28"/>
        </w:rPr>
      </w:pPr>
      <w:r>
        <w:rPr>
          <w:rFonts w:hint="eastAsia" w:ascii="仿宋" w:hAnsi="仿宋" w:eastAsia="仿宋"/>
          <w:b/>
          <w:bCs/>
          <w:sz w:val="28"/>
          <w:szCs w:val="28"/>
        </w:rPr>
        <w:t>名称为_________________、收益率为_______________；</w:t>
      </w:r>
    </w:p>
    <w:p>
      <w:pPr>
        <w:pStyle w:val="6"/>
        <w:spacing w:line="560" w:lineRule="exact"/>
        <w:ind w:firstLine="60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如需办理紧急业务，我行保证开辟绿色通道确保在最短时限内办理完结。免收招标方银行手续费、回单箱年费等银行业务费用。</w:t>
      </w:r>
    </w:p>
    <w:p>
      <w:pPr>
        <w:pStyle w:val="6"/>
        <w:keepNext w:val="0"/>
        <w:keepLines w:val="0"/>
        <w:pageBreakBefore w:val="0"/>
        <w:widowControl w:val="0"/>
        <w:kinsoku/>
        <w:wordWrap/>
        <w:overflowPunct/>
        <w:topLinePunct w:val="0"/>
        <w:autoSpaceDE/>
        <w:bidi w:val="0"/>
        <w:adjustRightInd/>
        <w:snapToGrid/>
        <w:spacing w:line="240" w:lineRule="atLeast"/>
        <w:ind w:firstLine="560"/>
        <w:jc w:val="left"/>
        <w:textAlignment w:val="auto"/>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keepNext w:val="0"/>
        <w:keepLines w:val="0"/>
        <w:pageBreakBefore w:val="0"/>
        <w:widowControl w:val="0"/>
        <w:kinsoku/>
        <w:wordWrap/>
        <w:overflowPunct/>
        <w:topLinePunct w:val="0"/>
        <w:autoSpaceDE/>
        <w:autoSpaceDN w:val="0"/>
        <w:bidi w:val="0"/>
        <w:adjustRightInd/>
        <w:snapToGrid/>
        <w:spacing w:line="240" w:lineRule="atLeast"/>
        <w:ind w:firstLine="560" w:firstLineChars="200"/>
        <w:jc w:val="left"/>
        <w:textAlignment w:val="auto"/>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hint="eastAsia"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240" w:lineRule="atLeast"/>
        <w:jc w:val="left"/>
        <w:textAlignment w:val="auto"/>
        <w:rPr>
          <w:rFonts w:ascii="仿宋" w:hAnsi="仿宋" w:eastAsia="仿宋" w:cs="Times New Roman"/>
          <w:sz w:val="28"/>
          <w:szCs w:val="28"/>
        </w:rPr>
      </w:pPr>
      <w:r>
        <w:rPr>
          <w:rFonts w:hint="eastAsia" w:ascii="仿宋" w:hAnsi="仿宋" w:eastAsia="仿宋" w:cs="Times New Roman"/>
          <w:sz w:val="28"/>
          <w:szCs w:val="28"/>
        </w:rPr>
        <w:t>邮政编码：</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联系电话：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日期：</w:t>
      </w:r>
      <w:r>
        <w:rPr>
          <w:rFonts w:hint="eastAsia" w:cs="Times New Roman" w:asciiTheme="majorEastAsia" w:hAnsiTheme="majorEastAsia" w:eastAsiaTheme="majorEastAsia"/>
          <w:sz w:val="28"/>
          <w:szCs w:val="28"/>
          <w:lang w:val="en-US" w:eastAsia="zh-CN"/>
        </w:rPr>
        <w:t xml:space="preserve">     </w:t>
      </w:r>
    </w:p>
    <w:p>
      <w:pPr>
        <w:pStyle w:val="2"/>
        <w:ind w:left="0" w:leftChars="0" w:firstLine="0" w:firstLineChars="0"/>
        <w:rPr>
          <w:rFonts w:hint="eastAsia" w:ascii="仿宋" w:hAnsi="仿宋" w:eastAsia="仿宋" w:cs="Times New Roman"/>
          <w:sz w:val="28"/>
          <w:szCs w:val="28"/>
        </w:rPr>
      </w:pPr>
    </w:p>
    <w:p/>
    <w:sectPr>
      <w:footerReference r:id="rId5" w:type="default"/>
      <w:pgSz w:w="11906" w:h="16838"/>
      <w:pgMar w:top="1361" w:right="1616" w:bottom="1361"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docPartObj>
        <w:docPartGallery w:val="autotext"/>
      </w:docPartObj>
    </w:sdtPr>
    <w:sdtContent>
      <w:sdt>
        <w:sdtPr>
          <w:id w:val="171357217"/>
          <w:docPartObj>
            <w:docPartGallery w:val="autotext"/>
          </w:docPartObj>
        </w:sdtPr>
        <w:sdtContent>
          <w:p>
            <w:pPr>
              <w:pStyle w:val="7"/>
              <w:jc w:val="center"/>
            </w:pPr>
          </w:p>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BC7AC"/>
    <w:multiLevelType w:val="singleLevel"/>
    <w:tmpl w:val="554BC7AC"/>
    <w:lvl w:ilvl="0" w:tentative="0">
      <w:start w:val="1"/>
      <w:numFmt w:val="decimal"/>
      <w:suff w:val="nothing"/>
      <w:lvlText w:val="%1、"/>
      <w:lvlJc w:val="left"/>
      <w:rPr>
        <w:rFonts w:hint="default"/>
        <w:sz w:val="28"/>
        <w:szCs w:val="28"/>
      </w:rPr>
    </w:lvl>
  </w:abstractNum>
  <w:abstractNum w:abstractNumId="1">
    <w:nsid w:val="6EB2A1F9"/>
    <w:multiLevelType w:val="singleLevel"/>
    <w:tmpl w:val="6EB2A1F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2A05"/>
    <w:rsid w:val="005C61A2"/>
    <w:rsid w:val="00723BC9"/>
    <w:rsid w:val="008815F0"/>
    <w:rsid w:val="00BF0445"/>
    <w:rsid w:val="01E96C2E"/>
    <w:rsid w:val="02736B92"/>
    <w:rsid w:val="03724537"/>
    <w:rsid w:val="03F70F0C"/>
    <w:rsid w:val="04F642DE"/>
    <w:rsid w:val="04FC403D"/>
    <w:rsid w:val="06451A56"/>
    <w:rsid w:val="09B24F76"/>
    <w:rsid w:val="09F124DC"/>
    <w:rsid w:val="0AA35B83"/>
    <w:rsid w:val="0B3B6FFB"/>
    <w:rsid w:val="0CA73CCE"/>
    <w:rsid w:val="0E1C3BE7"/>
    <w:rsid w:val="0F0373B1"/>
    <w:rsid w:val="0FFE442A"/>
    <w:rsid w:val="10815624"/>
    <w:rsid w:val="10C64A93"/>
    <w:rsid w:val="110E070B"/>
    <w:rsid w:val="124F3295"/>
    <w:rsid w:val="12A407A1"/>
    <w:rsid w:val="137A4F81"/>
    <w:rsid w:val="13A646F2"/>
    <w:rsid w:val="13D30E93"/>
    <w:rsid w:val="1444244B"/>
    <w:rsid w:val="14C15298"/>
    <w:rsid w:val="156D02D8"/>
    <w:rsid w:val="15C838CC"/>
    <w:rsid w:val="15D241DC"/>
    <w:rsid w:val="15FE0523"/>
    <w:rsid w:val="163760FE"/>
    <w:rsid w:val="165B2E3B"/>
    <w:rsid w:val="16A776B7"/>
    <w:rsid w:val="170767D7"/>
    <w:rsid w:val="18935F5E"/>
    <w:rsid w:val="18AA5B83"/>
    <w:rsid w:val="18DB79D7"/>
    <w:rsid w:val="18FF6912"/>
    <w:rsid w:val="19A10A1B"/>
    <w:rsid w:val="1A9F6B69"/>
    <w:rsid w:val="1AD50A96"/>
    <w:rsid w:val="1B5F18F4"/>
    <w:rsid w:val="1BE76355"/>
    <w:rsid w:val="1C990377"/>
    <w:rsid w:val="1D2E40EE"/>
    <w:rsid w:val="1D52385D"/>
    <w:rsid w:val="1D954D97"/>
    <w:rsid w:val="1DDE2C0D"/>
    <w:rsid w:val="1E0D5573"/>
    <w:rsid w:val="1E4303B3"/>
    <w:rsid w:val="1EF16CB8"/>
    <w:rsid w:val="1F8D4ED2"/>
    <w:rsid w:val="202A27D1"/>
    <w:rsid w:val="204D1A8C"/>
    <w:rsid w:val="208B4DF4"/>
    <w:rsid w:val="213B5E92"/>
    <w:rsid w:val="21472FA9"/>
    <w:rsid w:val="21B96760"/>
    <w:rsid w:val="21CE6705"/>
    <w:rsid w:val="21E253A6"/>
    <w:rsid w:val="22245E0F"/>
    <w:rsid w:val="22280099"/>
    <w:rsid w:val="228E32C0"/>
    <w:rsid w:val="22C32496"/>
    <w:rsid w:val="23975CF1"/>
    <w:rsid w:val="23D66ADB"/>
    <w:rsid w:val="24404E85"/>
    <w:rsid w:val="2486450E"/>
    <w:rsid w:val="24D06CF2"/>
    <w:rsid w:val="250C10D6"/>
    <w:rsid w:val="25396722"/>
    <w:rsid w:val="25533214"/>
    <w:rsid w:val="257F7D90"/>
    <w:rsid w:val="259B76C0"/>
    <w:rsid w:val="25E023B3"/>
    <w:rsid w:val="262A3AAC"/>
    <w:rsid w:val="273A2C15"/>
    <w:rsid w:val="28593D41"/>
    <w:rsid w:val="29563C4B"/>
    <w:rsid w:val="29B92A03"/>
    <w:rsid w:val="29E22543"/>
    <w:rsid w:val="2B22031C"/>
    <w:rsid w:val="2B623CB8"/>
    <w:rsid w:val="2C8F472B"/>
    <w:rsid w:val="2D0B4074"/>
    <w:rsid w:val="2EF6291B"/>
    <w:rsid w:val="2F2C2DF5"/>
    <w:rsid w:val="2F2E2A75"/>
    <w:rsid w:val="306B4F17"/>
    <w:rsid w:val="334376A7"/>
    <w:rsid w:val="334C3520"/>
    <w:rsid w:val="335D0251"/>
    <w:rsid w:val="33687E9F"/>
    <w:rsid w:val="34497A17"/>
    <w:rsid w:val="35646427"/>
    <w:rsid w:val="36E84FA3"/>
    <w:rsid w:val="37B67EF6"/>
    <w:rsid w:val="37DC1CD5"/>
    <w:rsid w:val="384D38EC"/>
    <w:rsid w:val="38D75A4F"/>
    <w:rsid w:val="3A282E88"/>
    <w:rsid w:val="3A4E4336"/>
    <w:rsid w:val="3AE96733"/>
    <w:rsid w:val="3B351A84"/>
    <w:rsid w:val="3D262270"/>
    <w:rsid w:val="3F112386"/>
    <w:rsid w:val="40277950"/>
    <w:rsid w:val="40DF167D"/>
    <w:rsid w:val="41184CDA"/>
    <w:rsid w:val="412020E6"/>
    <w:rsid w:val="41251DF1"/>
    <w:rsid w:val="43636E1D"/>
    <w:rsid w:val="43B655A2"/>
    <w:rsid w:val="43BE0430"/>
    <w:rsid w:val="4510235C"/>
    <w:rsid w:val="452F2C10"/>
    <w:rsid w:val="45387C9D"/>
    <w:rsid w:val="465631C1"/>
    <w:rsid w:val="474A0981"/>
    <w:rsid w:val="49D438AE"/>
    <w:rsid w:val="4A267E35"/>
    <w:rsid w:val="4AA25200"/>
    <w:rsid w:val="4ACB2B41"/>
    <w:rsid w:val="4B0A392B"/>
    <w:rsid w:val="4BB927CA"/>
    <w:rsid w:val="4C0B0F4F"/>
    <w:rsid w:val="4D775F60"/>
    <w:rsid w:val="4D9258D3"/>
    <w:rsid w:val="4DB87D11"/>
    <w:rsid w:val="4E6A7964"/>
    <w:rsid w:val="4ED9366C"/>
    <w:rsid w:val="4EF84E1A"/>
    <w:rsid w:val="50CE6F9F"/>
    <w:rsid w:val="514C30F0"/>
    <w:rsid w:val="51B43D99"/>
    <w:rsid w:val="52FD3FF3"/>
    <w:rsid w:val="532E5804"/>
    <w:rsid w:val="545D28DB"/>
    <w:rsid w:val="54CA3B23"/>
    <w:rsid w:val="54DA0D43"/>
    <w:rsid w:val="55774444"/>
    <w:rsid w:val="55A15289"/>
    <w:rsid w:val="56031AAA"/>
    <w:rsid w:val="561D5ED7"/>
    <w:rsid w:val="56C7506B"/>
    <w:rsid w:val="5733219C"/>
    <w:rsid w:val="57416F33"/>
    <w:rsid w:val="57A047BD"/>
    <w:rsid w:val="58A96885"/>
    <w:rsid w:val="5AC6337D"/>
    <w:rsid w:val="5ACF2987"/>
    <w:rsid w:val="5B237E93"/>
    <w:rsid w:val="5C61531C"/>
    <w:rsid w:val="5CED4F00"/>
    <w:rsid w:val="5D1C3851"/>
    <w:rsid w:val="5DFD2B3F"/>
    <w:rsid w:val="5E0943D3"/>
    <w:rsid w:val="5E5E18DF"/>
    <w:rsid w:val="5F0E1A83"/>
    <w:rsid w:val="60C4204E"/>
    <w:rsid w:val="612F4F80"/>
    <w:rsid w:val="61433C21"/>
    <w:rsid w:val="62B372FA"/>
    <w:rsid w:val="62F13CA0"/>
    <w:rsid w:val="645D5138"/>
    <w:rsid w:val="652E0611"/>
    <w:rsid w:val="65374A9B"/>
    <w:rsid w:val="654805B8"/>
    <w:rsid w:val="664B4963"/>
    <w:rsid w:val="665C6DFC"/>
    <w:rsid w:val="669924E4"/>
    <w:rsid w:val="66A22C31"/>
    <w:rsid w:val="67613F34"/>
    <w:rsid w:val="682676EC"/>
    <w:rsid w:val="6925180D"/>
    <w:rsid w:val="696B7D83"/>
    <w:rsid w:val="69E47BBB"/>
    <w:rsid w:val="6A8504D0"/>
    <w:rsid w:val="6ABF73B0"/>
    <w:rsid w:val="6B277CD9"/>
    <w:rsid w:val="6B5643E4"/>
    <w:rsid w:val="6B7B7763"/>
    <w:rsid w:val="6B8F4205"/>
    <w:rsid w:val="6BF64EAE"/>
    <w:rsid w:val="6C4F6842"/>
    <w:rsid w:val="6DE13755"/>
    <w:rsid w:val="6E285793"/>
    <w:rsid w:val="6F345300"/>
    <w:rsid w:val="6FE902A7"/>
    <w:rsid w:val="6FED6CAD"/>
    <w:rsid w:val="70581BE0"/>
    <w:rsid w:val="711B1ECA"/>
    <w:rsid w:val="711B42DC"/>
    <w:rsid w:val="73062743"/>
    <w:rsid w:val="7352575D"/>
    <w:rsid w:val="737F4546"/>
    <w:rsid w:val="76515D02"/>
    <w:rsid w:val="765C023B"/>
    <w:rsid w:val="7665694D"/>
    <w:rsid w:val="771B7375"/>
    <w:rsid w:val="771D2878"/>
    <w:rsid w:val="7728668A"/>
    <w:rsid w:val="774F5E06"/>
    <w:rsid w:val="77A45FD4"/>
    <w:rsid w:val="77C13386"/>
    <w:rsid w:val="77D6332B"/>
    <w:rsid w:val="77E34BBF"/>
    <w:rsid w:val="7867302D"/>
    <w:rsid w:val="79001B14"/>
    <w:rsid w:val="793876EF"/>
    <w:rsid w:val="79B315B7"/>
    <w:rsid w:val="79C350D5"/>
    <w:rsid w:val="7AF357C7"/>
    <w:rsid w:val="7B074467"/>
    <w:rsid w:val="7B8749B6"/>
    <w:rsid w:val="7C4405EC"/>
    <w:rsid w:val="7C777B41"/>
    <w:rsid w:val="7D171C49"/>
    <w:rsid w:val="7D423810"/>
    <w:rsid w:val="7D443A12"/>
    <w:rsid w:val="7D805DF5"/>
    <w:rsid w:val="7DC27B63"/>
    <w:rsid w:val="7E6418EB"/>
    <w:rsid w:val="7EEE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rFonts w:ascii="Times New Roman" w:hAnsi="Times New Roman" w:eastAsia="宋体"/>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7">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8">
    <w:name w:val="Normal (Web)"/>
    <w:basedOn w:val="1"/>
    <w:qFormat/>
    <w:uiPriority w:val="0"/>
    <w:pPr>
      <w:spacing w:before="100" w:beforeAutospacing="1" w:after="100" w:afterAutospacing="1"/>
      <w:jc w:val="left"/>
    </w:pPr>
    <w:rPr>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2023-10-07T03:03:00Z</dcterms:created>
  <dc:creator>Administrator</dc:creator>
  <cp:lastModifiedBy>米若伊桓</cp:lastModifiedBy>
  <cp:lastPrinted>2023-10-07T06:54:00Z</cp:lastPrinted>
  <dcterms:modified xsi:type="dcterms:W3CDTF">2023-10-12T01:15:43Z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947DB924820D42F199AB03E05E1B4965</vt:lpwstr>
  </property>
</Properties>
</file>