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napToGrid w:val="0"/>
          <w:kern w:val="0"/>
          <w:sz w:val="52"/>
          <w:szCs w:val="52"/>
          <w:lang w:eastAsia="zh-CN"/>
        </w:rPr>
      </w:pPr>
    </w:p>
    <w:p>
      <w:pPr>
        <w:spacing w:line="360" w:lineRule="auto"/>
        <w:jc w:val="center"/>
        <w:rPr>
          <w:rFonts w:ascii="宋体" w:hAnsi="宋体"/>
          <w:b/>
          <w:sz w:val="84"/>
          <w:szCs w:val="84"/>
        </w:rPr>
      </w:pPr>
      <w:r>
        <w:rPr>
          <w:rFonts w:hint="eastAsia" w:ascii="宋体" w:hAnsi="宋体"/>
          <w:b/>
          <w:bCs/>
          <w:snapToGrid w:val="0"/>
          <w:kern w:val="0"/>
          <w:sz w:val="52"/>
          <w:szCs w:val="52"/>
          <w:lang w:eastAsia="zh-CN"/>
        </w:rPr>
        <w:t>南通港通海港区至通州湾港区铁路专用线一期工程项目特许经营咨询</w:t>
      </w:r>
    </w:p>
    <w:p>
      <w:pPr>
        <w:spacing w:line="360" w:lineRule="auto"/>
        <w:jc w:val="center"/>
        <w:rPr>
          <w:rFonts w:ascii="宋体" w:hAnsi="宋体"/>
          <w:b/>
          <w:sz w:val="84"/>
          <w:szCs w:val="84"/>
        </w:rPr>
      </w:pPr>
    </w:p>
    <w:p>
      <w:pPr>
        <w:spacing w:line="360" w:lineRule="auto"/>
        <w:jc w:val="center"/>
        <w:rPr>
          <w:rFonts w:ascii="宋体" w:hAnsi="宋体"/>
          <w:b/>
          <w:sz w:val="84"/>
          <w:szCs w:val="84"/>
        </w:rPr>
      </w:pPr>
      <w:r>
        <w:rPr>
          <w:rFonts w:hint="eastAsia" w:ascii="宋体" w:hAnsi="宋体"/>
          <w:b/>
          <w:sz w:val="84"/>
          <w:szCs w:val="84"/>
        </w:rPr>
        <w:t>竞争性谈判采购文件</w:t>
      </w:r>
    </w:p>
    <w:p>
      <w:pPr>
        <w:spacing w:line="360" w:lineRule="auto"/>
        <w:jc w:val="center"/>
        <w:rPr>
          <w:b/>
          <w:sz w:val="84"/>
          <w:szCs w:val="84"/>
        </w:rPr>
      </w:pPr>
    </w:p>
    <w:p>
      <w:pPr>
        <w:spacing w:line="360" w:lineRule="auto"/>
        <w:ind w:left="1920" w:leftChars="800" w:firstLine="643" w:firstLineChars="200"/>
        <w:rPr>
          <w:rFonts w:hint="default" w:ascii="宋体" w:hAnsi="宋体" w:eastAsia="宋体"/>
          <w:b/>
          <w:sz w:val="32"/>
          <w:szCs w:val="32"/>
          <w:lang w:val="en-US" w:eastAsia="zh-CN"/>
        </w:rPr>
      </w:pPr>
      <w:r>
        <w:rPr>
          <w:rFonts w:hint="eastAsia" w:ascii="宋体" w:hAnsi="宋体"/>
          <w:b/>
          <w:sz w:val="32"/>
          <w:szCs w:val="32"/>
        </w:rPr>
        <w:t>采购编号：</w:t>
      </w:r>
      <w:r>
        <w:rPr>
          <w:rFonts w:hint="eastAsia" w:ascii="宋体" w:hAnsi="宋体"/>
          <w:b/>
          <w:bCs/>
          <w:sz w:val="32"/>
          <w:szCs w:val="32"/>
        </w:rPr>
        <w:t>NTG</w:t>
      </w:r>
      <w:r>
        <w:rPr>
          <w:rFonts w:hint="eastAsia" w:ascii="宋体" w:hAnsi="宋体"/>
          <w:b/>
          <w:sz w:val="32"/>
          <w:szCs w:val="32"/>
        </w:rPr>
        <w:t>JT-</w:t>
      </w:r>
      <w:r>
        <w:rPr>
          <w:rFonts w:hint="eastAsia" w:ascii="宋体" w:hAnsi="宋体"/>
          <w:b/>
          <w:sz w:val="32"/>
          <w:szCs w:val="32"/>
          <w:lang w:val="en-US" w:eastAsia="zh-CN"/>
        </w:rPr>
        <w:t>TXJYZX</w:t>
      </w:r>
      <w:r>
        <w:rPr>
          <w:rFonts w:hint="eastAsia" w:ascii="宋体" w:hAnsi="宋体"/>
          <w:b/>
          <w:sz w:val="32"/>
          <w:szCs w:val="32"/>
        </w:rPr>
        <w:t>-</w:t>
      </w:r>
      <w:r>
        <w:rPr>
          <w:rFonts w:hint="eastAsia" w:ascii="宋体" w:hAnsi="宋体"/>
          <w:b/>
          <w:sz w:val="32"/>
          <w:szCs w:val="32"/>
          <w:lang w:val="en-US" w:eastAsia="zh-CN"/>
        </w:rPr>
        <w:t>0515</w:t>
      </w:r>
    </w:p>
    <w:p>
      <w:pPr>
        <w:spacing w:line="360" w:lineRule="auto"/>
        <w:ind w:firstLine="2570" w:firstLineChars="800"/>
        <w:rPr>
          <w:rFonts w:ascii="宋体" w:hAnsi="宋体"/>
          <w:b/>
          <w:sz w:val="32"/>
          <w:szCs w:val="32"/>
        </w:rPr>
      </w:pPr>
      <w:r>
        <w:rPr>
          <w:rFonts w:hint="eastAsia" w:ascii="宋体" w:hAnsi="宋体"/>
          <w:b/>
          <w:sz w:val="32"/>
          <w:szCs w:val="32"/>
        </w:rPr>
        <w:t>采 购 人：南通港集团建设投资有限公司</w:t>
      </w:r>
    </w:p>
    <w:p>
      <w:pPr>
        <w:spacing w:line="360" w:lineRule="auto"/>
        <w:ind w:firstLine="2570" w:firstLineChars="800"/>
        <w:rPr>
          <w:rFonts w:ascii="宋体" w:hAnsi="宋体"/>
          <w:b/>
          <w:sz w:val="32"/>
          <w:szCs w:val="32"/>
        </w:rPr>
      </w:pPr>
      <w:r>
        <w:rPr>
          <w:rFonts w:hint="eastAsia" w:ascii="宋体" w:hAnsi="宋体"/>
          <w:b/>
          <w:sz w:val="32"/>
          <w:szCs w:val="32"/>
        </w:rPr>
        <w:t>采购类别：服务类</w:t>
      </w: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p>
    <w:p>
      <w:pPr>
        <w:spacing w:line="360" w:lineRule="auto"/>
        <w:jc w:val="center"/>
        <w:rPr>
          <w:b/>
          <w:sz w:val="32"/>
          <w:szCs w:val="32"/>
        </w:rPr>
      </w:pPr>
    </w:p>
    <w:p>
      <w:pPr>
        <w:spacing w:line="360" w:lineRule="auto"/>
        <w:jc w:val="center"/>
        <w:rPr>
          <w:b/>
          <w:sz w:val="32"/>
          <w:szCs w:val="32"/>
        </w:rPr>
      </w:pPr>
      <w:r>
        <w:rPr>
          <w:rFonts w:hint="eastAsia"/>
          <w:b/>
          <w:sz w:val="32"/>
          <w:szCs w:val="32"/>
        </w:rPr>
        <w:t>二〇一</w:t>
      </w:r>
      <w:r>
        <w:rPr>
          <w:rFonts w:hint="eastAsia"/>
          <w:b/>
          <w:sz w:val="32"/>
          <w:szCs w:val="32"/>
          <w:lang w:eastAsia="zh-CN"/>
        </w:rPr>
        <w:t>九</w:t>
      </w:r>
      <w:r>
        <w:rPr>
          <w:rFonts w:hint="eastAsia"/>
          <w:b/>
          <w:sz w:val="32"/>
          <w:szCs w:val="32"/>
        </w:rPr>
        <w:t>年</w:t>
      </w:r>
      <w:r>
        <w:rPr>
          <w:rFonts w:hint="eastAsia"/>
          <w:b/>
          <w:sz w:val="32"/>
          <w:szCs w:val="32"/>
          <w:lang w:eastAsia="zh-CN"/>
        </w:rPr>
        <w:t>五</w:t>
      </w:r>
      <w:r>
        <w:rPr>
          <w:rFonts w:hint="eastAsia"/>
          <w:b/>
          <w:sz w:val="32"/>
          <w:szCs w:val="32"/>
        </w:rPr>
        <w:t>月</w:t>
      </w:r>
    </w:p>
    <w:p>
      <w:pPr>
        <w:spacing w:line="360" w:lineRule="auto"/>
        <w:jc w:val="center"/>
        <w:rPr>
          <w:rFonts w:ascii="宋体" w:hAnsi="宋体"/>
          <w:b/>
          <w:sz w:val="48"/>
          <w:szCs w:val="48"/>
        </w:rPr>
      </w:pPr>
      <w:r>
        <w:rPr>
          <w:b/>
          <w:sz w:val="32"/>
          <w:szCs w:val="32"/>
        </w:rPr>
        <w:br w:type="page"/>
      </w:r>
      <w:r>
        <w:rPr>
          <w:rFonts w:hint="eastAsia" w:ascii="宋体" w:hAnsi="宋体"/>
          <w:b/>
          <w:sz w:val="48"/>
          <w:szCs w:val="48"/>
        </w:rPr>
        <w:t>总目录</w:t>
      </w:r>
    </w:p>
    <w:p>
      <w:pPr>
        <w:spacing w:line="360" w:lineRule="auto"/>
        <w:jc w:val="center"/>
        <w:rPr>
          <w:rFonts w:ascii="黑体" w:hAnsi="宋体" w:eastAsia="黑体"/>
          <w:b/>
          <w:bCs/>
          <w:sz w:val="48"/>
          <w:szCs w:val="48"/>
        </w:rPr>
      </w:pPr>
    </w:p>
    <w:p>
      <w:pPr>
        <w:pStyle w:val="22"/>
        <w:tabs>
          <w:tab w:val="right" w:leader="dot" w:pos="9742"/>
        </w:tabs>
        <w:adjustRightInd/>
        <w:spacing w:line="360" w:lineRule="auto"/>
        <w:jc w:val="center"/>
        <w:rPr>
          <w:rFonts w:ascii="黑体" w:hAnsi="黑体" w:eastAsia="黑体"/>
          <w:b/>
          <w:sz w:val="21"/>
          <w:szCs w:val="22"/>
        </w:rPr>
      </w:pPr>
      <w:r>
        <w:rPr>
          <w:sz w:val="22"/>
          <w:szCs w:val="22"/>
        </w:rPr>
        <w:fldChar w:fldCharType="begin"/>
      </w:r>
      <w:r>
        <w:rPr>
          <w:sz w:val="22"/>
          <w:szCs w:val="22"/>
        </w:rPr>
        <w:instrText xml:space="preserve"> TOC \o "1-1" \h \z \u </w:instrText>
      </w:r>
      <w:r>
        <w:rPr>
          <w:sz w:val="22"/>
          <w:szCs w:val="22"/>
        </w:rPr>
        <w:fldChar w:fldCharType="separate"/>
      </w:r>
      <w:r>
        <w:fldChar w:fldCharType="begin"/>
      </w:r>
      <w:r>
        <w:instrText xml:space="preserve"> HYPERLINK \l "_Toc522545743" </w:instrText>
      </w:r>
      <w:r>
        <w:fldChar w:fldCharType="separate"/>
      </w:r>
      <w:r>
        <w:rPr>
          <w:rStyle w:val="33"/>
          <w:rFonts w:hint="eastAsia" w:ascii="黑体" w:hAnsi="黑体" w:eastAsia="黑体"/>
          <w:b/>
          <w:bCs/>
        </w:rPr>
        <w:t>谈判采购文件</w:t>
      </w:r>
      <w:r>
        <w:rPr>
          <w:rFonts w:ascii="黑体" w:hAnsi="黑体" w:eastAsia="黑体"/>
          <w:b/>
        </w:rPr>
        <w:tab/>
      </w:r>
      <w:r>
        <w:rPr>
          <w:rFonts w:ascii="黑体" w:hAnsi="黑体" w:eastAsia="黑体"/>
          <w:b/>
        </w:rPr>
        <w:fldChar w:fldCharType="begin"/>
      </w:r>
      <w:r>
        <w:rPr>
          <w:rFonts w:ascii="黑体" w:hAnsi="黑体" w:eastAsia="黑体"/>
          <w:b/>
        </w:rPr>
        <w:instrText xml:space="preserve"> PAGEREF _Toc522545743 \h </w:instrText>
      </w:r>
      <w:r>
        <w:rPr>
          <w:rFonts w:ascii="黑体" w:hAnsi="黑体" w:eastAsia="黑体"/>
          <w:b/>
        </w:rPr>
        <w:fldChar w:fldCharType="separate"/>
      </w:r>
      <w:r>
        <w:rPr>
          <w:rFonts w:ascii="黑体" w:hAnsi="黑体" w:eastAsia="黑体"/>
          <w:b/>
        </w:rPr>
        <w:t>2</w:t>
      </w:r>
      <w:r>
        <w:rPr>
          <w:rFonts w:ascii="黑体" w:hAnsi="黑体" w:eastAsia="黑体"/>
          <w:b/>
        </w:rPr>
        <w:fldChar w:fldCharType="end"/>
      </w:r>
      <w:r>
        <w:rPr>
          <w:rFonts w:ascii="黑体" w:hAnsi="黑体" w:eastAsia="黑体"/>
          <w:b/>
        </w:rPr>
        <w:fldChar w:fldCharType="end"/>
      </w:r>
    </w:p>
    <w:p>
      <w:pPr>
        <w:pStyle w:val="22"/>
        <w:tabs>
          <w:tab w:val="right" w:leader="dot" w:pos="9742"/>
        </w:tabs>
        <w:adjustRightInd/>
        <w:spacing w:line="360" w:lineRule="auto"/>
        <w:jc w:val="center"/>
        <w:rPr>
          <w:rFonts w:hint="eastAsia" w:ascii="黑体" w:hAnsi="黑体" w:eastAsia="黑体"/>
          <w:b/>
          <w:sz w:val="21"/>
          <w:szCs w:val="22"/>
          <w:lang w:val="en-US" w:eastAsia="zh-CN"/>
        </w:rPr>
      </w:pPr>
      <w:r>
        <w:fldChar w:fldCharType="begin"/>
      </w:r>
      <w:r>
        <w:instrText xml:space="preserve"> HYPERLINK \l "_Toc522545744" </w:instrText>
      </w:r>
      <w:r>
        <w:fldChar w:fldCharType="separate"/>
      </w:r>
      <w:r>
        <w:rPr>
          <w:rStyle w:val="33"/>
          <w:rFonts w:hint="eastAsia" w:ascii="黑体" w:hAnsi="黑体" w:eastAsia="黑体"/>
          <w:b/>
        </w:rPr>
        <w:t>附件</w:t>
      </w:r>
      <w:r>
        <w:rPr>
          <w:rStyle w:val="33"/>
          <w:rFonts w:ascii="黑体" w:hAnsi="黑体" w:eastAsia="黑体"/>
          <w:b/>
        </w:rPr>
        <w:t>1</w:t>
      </w:r>
      <w:r>
        <w:rPr>
          <w:rStyle w:val="33"/>
          <w:rFonts w:hint="eastAsia" w:ascii="黑体" w:hAnsi="黑体" w:eastAsia="黑体"/>
          <w:b/>
        </w:rPr>
        <w:t>：合同主要条款（格式）</w:t>
      </w:r>
      <w:r>
        <w:rPr>
          <w:rFonts w:ascii="黑体" w:hAnsi="黑体" w:eastAsia="黑体"/>
          <w:b/>
        </w:rPr>
        <w:tab/>
      </w:r>
      <w:r>
        <w:rPr>
          <w:rFonts w:hint="eastAsia" w:ascii="黑体" w:hAnsi="黑体" w:eastAsia="黑体"/>
          <w:b/>
          <w:lang w:val="en-US" w:eastAsia="zh-CN"/>
        </w:rPr>
        <w:t>1</w:t>
      </w:r>
      <w:r>
        <w:rPr>
          <w:rFonts w:ascii="黑体" w:hAnsi="黑体" w:eastAsia="黑体"/>
          <w:b/>
        </w:rPr>
        <w:fldChar w:fldCharType="end"/>
      </w:r>
      <w:r>
        <w:rPr>
          <w:rFonts w:hint="eastAsia" w:ascii="黑体" w:hAnsi="黑体" w:eastAsia="黑体"/>
          <w:b/>
          <w:lang w:val="en-US" w:eastAsia="zh-CN"/>
        </w:rPr>
        <w:t>0</w:t>
      </w:r>
    </w:p>
    <w:p>
      <w:pPr>
        <w:pStyle w:val="22"/>
        <w:tabs>
          <w:tab w:val="right" w:leader="dot" w:pos="9742"/>
        </w:tabs>
        <w:adjustRightInd/>
        <w:spacing w:line="360" w:lineRule="auto"/>
        <w:jc w:val="center"/>
        <w:rPr>
          <w:rFonts w:hint="eastAsia" w:ascii="黑体" w:hAnsi="黑体" w:eastAsia="黑体"/>
          <w:b/>
          <w:sz w:val="21"/>
          <w:szCs w:val="22"/>
          <w:lang w:val="en-US" w:eastAsia="zh-CN"/>
        </w:rPr>
      </w:pPr>
      <w:r>
        <w:fldChar w:fldCharType="begin"/>
      </w:r>
      <w:r>
        <w:instrText xml:space="preserve"> HYPERLINK \l "_Toc522545745" </w:instrText>
      </w:r>
      <w:r>
        <w:fldChar w:fldCharType="separate"/>
      </w:r>
      <w:r>
        <w:rPr>
          <w:rStyle w:val="33"/>
          <w:rFonts w:hint="eastAsia" w:ascii="黑体" w:hAnsi="黑体" w:eastAsia="黑体"/>
          <w:b/>
          <w:bCs/>
        </w:rPr>
        <w:t>附件</w:t>
      </w:r>
      <w:r>
        <w:rPr>
          <w:rStyle w:val="33"/>
          <w:rFonts w:ascii="黑体" w:hAnsi="黑体" w:eastAsia="黑体"/>
          <w:b/>
          <w:bCs/>
        </w:rPr>
        <w:t>2</w:t>
      </w:r>
      <w:r>
        <w:rPr>
          <w:rStyle w:val="33"/>
          <w:rFonts w:hint="eastAsia" w:ascii="黑体" w:hAnsi="黑体" w:eastAsia="黑体"/>
          <w:b/>
          <w:bCs/>
        </w:rPr>
        <w:t>：响应</w:t>
      </w:r>
      <w:r>
        <w:rPr>
          <w:rStyle w:val="33"/>
          <w:rFonts w:hint="eastAsia" w:ascii="黑体" w:hAnsi="黑体" w:eastAsia="黑体"/>
          <w:b/>
          <w:bCs/>
          <w:lang w:eastAsia="zh-CN"/>
        </w:rPr>
        <w:t>文件</w:t>
      </w:r>
      <w:r>
        <w:rPr>
          <w:rFonts w:ascii="黑体" w:hAnsi="黑体" w:eastAsia="黑体"/>
          <w:b/>
        </w:rPr>
        <w:tab/>
      </w:r>
      <w:r>
        <w:rPr>
          <w:rFonts w:hint="eastAsia" w:ascii="黑体" w:hAnsi="黑体" w:eastAsia="黑体"/>
          <w:b/>
          <w:lang w:val="en-US" w:eastAsia="zh-CN"/>
        </w:rPr>
        <w:t>1</w:t>
      </w:r>
      <w:r>
        <w:rPr>
          <w:rFonts w:ascii="黑体" w:hAnsi="黑体" w:eastAsia="黑体"/>
          <w:b/>
        </w:rPr>
        <w:fldChar w:fldCharType="end"/>
      </w:r>
      <w:r>
        <w:rPr>
          <w:rFonts w:hint="eastAsia" w:ascii="黑体" w:hAnsi="黑体" w:eastAsia="黑体"/>
          <w:b/>
          <w:lang w:val="en-US" w:eastAsia="zh-CN"/>
        </w:rPr>
        <w:t>9</w:t>
      </w:r>
    </w:p>
    <w:p>
      <w:pPr>
        <w:pStyle w:val="22"/>
        <w:tabs>
          <w:tab w:val="right" w:leader="dot" w:pos="9742"/>
        </w:tabs>
        <w:adjustRightInd/>
        <w:spacing w:line="360" w:lineRule="auto"/>
        <w:jc w:val="center"/>
        <w:rPr>
          <w:rFonts w:hint="eastAsia" w:ascii="黑体" w:hAnsi="黑体" w:eastAsia="黑体"/>
          <w:b/>
          <w:sz w:val="21"/>
          <w:szCs w:val="22"/>
          <w:lang w:val="en-US" w:eastAsia="zh-CN"/>
        </w:rPr>
      </w:pPr>
      <w:r>
        <w:fldChar w:fldCharType="begin"/>
      </w:r>
      <w:r>
        <w:instrText xml:space="preserve"> HYPERLINK \l "_Toc522545746" </w:instrText>
      </w:r>
      <w:r>
        <w:fldChar w:fldCharType="separate"/>
      </w:r>
      <w:r>
        <w:rPr>
          <w:rStyle w:val="33"/>
          <w:rFonts w:hint="eastAsia" w:ascii="黑体" w:hAnsi="黑体" w:eastAsia="黑体" w:cs="宋体"/>
          <w:b/>
          <w:bCs/>
          <w:lang w:val="zh-CN"/>
        </w:rPr>
        <w:t>附件</w:t>
      </w:r>
      <w:r>
        <w:rPr>
          <w:rStyle w:val="33"/>
          <w:rFonts w:ascii="黑体" w:hAnsi="黑体" w:eastAsia="黑体" w:cs="宋体"/>
          <w:b/>
          <w:bCs/>
        </w:rPr>
        <w:t>3</w:t>
      </w:r>
      <w:r>
        <w:rPr>
          <w:rStyle w:val="33"/>
          <w:rFonts w:hint="eastAsia" w:ascii="黑体" w:hAnsi="黑体" w:eastAsia="黑体" w:cs="宋体"/>
          <w:b/>
          <w:bCs/>
          <w:lang w:val="zh-CN"/>
        </w:rPr>
        <w:t>：法定代表人授权委托书</w:t>
      </w:r>
      <w:r>
        <w:rPr>
          <w:rFonts w:ascii="黑体" w:hAnsi="黑体" w:eastAsia="黑体"/>
          <w:b/>
        </w:rPr>
        <w:tab/>
      </w:r>
      <w:r>
        <w:rPr>
          <w:rFonts w:hint="eastAsia" w:ascii="黑体" w:hAnsi="黑体" w:eastAsia="黑体"/>
          <w:b/>
          <w:lang w:val="en-US" w:eastAsia="zh-CN"/>
        </w:rPr>
        <w:t>2</w:t>
      </w:r>
      <w:r>
        <w:rPr>
          <w:rFonts w:ascii="黑体" w:hAnsi="黑体" w:eastAsia="黑体"/>
          <w:b/>
        </w:rPr>
        <w:fldChar w:fldCharType="end"/>
      </w:r>
      <w:r>
        <w:rPr>
          <w:rFonts w:hint="eastAsia" w:ascii="黑体" w:hAnsi="黑体" w:eastAsia="黑体"/>
          <w:b/>
          <w:lang w:val="en-US" w:eastAsia="zh-CN"/>
        </w:rPr>
        <w:t>0</w:t>
      </w:r>
    </w:p>
    <w:p>
      <w:pPr>
        <w:pStyle w:val="22"/>
        <w:tabs>
          <w:tab w:val="right" w:leader="dot" w:pos="9742"/>
        </w:tabs>
        <w:adjustRightInd/>
        <w:spacing w:line="360" w:lineRule="auto"/>
        <w:jc w:val="center"/>
        <w:rPr>
          <w:rFonts w:hint="eastAsia" w:ascii="黑体" w:hAnsi="黑体" w:eastAsia="黑体"/>
          <w:b/>
          <w:sz w:val="21"/>
          <w:szCs w:val="22"/>
          <w:lang w:val="en-US" w:eastAsia="zh-CN"/>
        </w:rPr>
      </w:pPr>
      <w:r>
        <w:fldChar w:fldCharType="begin"/>
      </w:r>
      <w:r>
        <w:instrText xml:space="preserve"> HYPERLINK \l "_Toc522545747" </w:instrText>
      </w:r>
      <w:r>
        <w:fldChar w:fldCharType="separate"/>
      </w:r>
      <w:r>
        <w:rPr>
          <w:rStyle w:val="33"/>
          <w:rFonts w:hint="eastAsia" w:ascii="黑体" w:hAnsi="黑体" w:eastAsia="黑体"/>
          <w:b/>
          <w:bCs/>
        </w:rPr>
        <w:t>附件</w:t>
      </w:r>
      <w:r>
        <w:rPr>
          <w:rStyle w:val="33"/>
          <w:rFonts w:ascii="黑体" w:hAnsi="黑体" w:eastAsia="黑体"/>
          <w:b/>
          <w:bCs/>
        </w:rPr>
        <w:t>4</w:t>
      </w:r>
      <w:r>
        <w:rPr>
          <w:rStyle w:val="33"/>
          <w:rFonts w:hint="eastAsia" w:ascii="黑体" w:hAnsi="黑体" w:eastAsia="黑体"/>
          <w:b/>
          <w:bCs/>
        </w:rPr>
        <w:t>：谈判报价表</w:t>
      </w:r>
      <w:r>
        <w:rPr>
          <w:rFonts w:ascii="黑体" w:hAnsi="黑体" w:eastAsia="黑体"/>
          <w:b/>
        </w:rPr>
        <w:tab/>
      </w:r>
      <w:r>
        <w:rPr>
          <w:rFonts w:hint="eastAsia" w:ascii="黑体" w:hAnsi="黑体" w:eastAsia="黑体"/>
          <w:b/>
          <w:lang w:val="en-US" w:eastAsia="zh-CN"/>
        </w:rPr>
        <w:t>2</w:t>
      </w:r>
      <w:r>
        <w:rPr>
          <w:rFonts w:ascii="黑体" w:hAnsi="黑体" w:eastAsia="黑体"/>
          <w:b/>
        </w:rPr>
        <w:fldChar w:fldCharType="end"/>
      </w:r>
      <w:r>
        <w:rPr>
          <w:rFonts w:hint="eastAsia" w:ascii="黑体" w:hAnsi="黑体" w:eastAsia="黑体"/>
          <w:b/>
          <w:lang w:val="en-US" w:eastAsia="zh-CN"/>
        </w:rPr>
        <w:t>1</w:t>
      </w:r>
    </w:p>
    <w:p>
      <w:pPr>
        <w:pStyle w:val="22"/>
        <w:tabs>
          <w:tab w:val="right" w:leader="dot" w:pos="9742"/>
        </w:tabs>
        <w:adjustRightInd/>
        <w:spacing w:line="360" w:lineRule="auto"/>
        <w:jc w:val="center"/>
        <w:rPr>
          <w:rFonts w:hint="eastAsia" w:ascii="黑体" w:hAnsi="黑体" w:eastAsia="黑体"/>
          <w:b/>
          <w:sz w:val="21"/>
          <w:szCs w:val="22"/>
          <w:lang w:val="en-US" w:eastAsia="zh-CN"/>
        </w:rPr>
      </w:pPr>
      <w:r>
        <w:fldChar w:fldCharType="begin"/>
      </w:r>
      <w:r>
        <w:instrText xml:space="preserve"> HYPERLINK \l "_Toc522545748" </w:instrText>
      </w:r>
      <w:r>
        <w:fldChar w:fldCharType="separate"/>
      </w:r>
      <w:r>
        <w:rPr>
          <w:rStyle w:val="33"/>
          <w:rFonts w:hint="eastAsia" w:ascii="黑体" w:hAnsi="黑体" w:eastAsia="黑体"/>
          <w:b/>
          <w:bCs/>
        </w:rPr>
        <w:t>附件</w:t>
      </w:r>
      <w:r>
        <w:rPr>
          <w:rStyle w:val="33"/>
          <w:rFonts w:ascii="黑体" w:hAnsi="黑体" w:eastAsia="黑体"/>
          <w:b/>
          <w:bCs/>
        </w:rPr>
        <w:t>5</w:t>
      </w:r>
      <w:r>
        <w:rPr>
          <w:rStyle w:val="33"/>
          <w:rFonts w:hint="eastAsia" w:ascii="黑体" w:hAnsi="黑体" w:eastAsia="黑体"/>
          <w:b/>
          <w:bCs/>
        </w:rPr>
        <w:t>：关于资格文件的声明函</w:t>
      </w:r>
      <w:r>
        <w:rPr>
          <w:rFonts w:ascii="黑体" w:hAnsi="黑体" w:eastAsia="黑体"/>
          <w:b/>
        </w:rPr>
        <w:tab/>
      </w:r>
      <w:r>
        <w:rPr>
          <w:rFonts w:hint="eastAsia" w:ascii="黑体" w:hAnsi="黑体" w:eastAsia="黑体"/>
          <w:b/>
          <w:lang w:val="en-US" w:eastAsia="zh-CN"/>
        </w:rPr>
        <w:t>2</w:t>
      </w:r>
      <w:r>
        <w:rPr>
          <w:rFonts w:ascii="黑体" w:hAnsi="黑体" w:eastAsia="黑体"/>
          <w:b/>
        </w:rPr>
        <w:fldChar w:fldCharType="end"/>
      </w:r>
      <w:r>
        <w:rPr>
          <w:rFonts w:hint="eastAsia" w:ascii="黑体" w:hAnsi="黑体" w:eastAsia="黑体"/>
          <w:b/>
          <w:lang w:val="en-US" w:eastAsia="zh-CN"/>
        </w:rPr>
        <w:t>2</w:t>
      </w:r>
    </w:p>
    <w:p>
      <w:pPr>
        <w:pStyle w:val="22"/>
        <w:tabs>
          <w:tab w:val="right" w:leader="dot" w:pos="9742"/>
        </w:tabs>
        <w:adjustRightInd/>
        <w:spacing w:line="360" w:lineRule="auto"/>
        <w:jc w:val="center"/>
        <w:rPr>
          <w:rFonts w:hint="eastAsia" w:ascii="黑体" w:hAnsi="黑体" w:eastAsia="黑体"/>
          <w:b/>
          <w:sz w:val="21"/>
          <w:szCs w:val="22"/>
          <w:lang w:val="en-US" w:eastAsia="zh-CN"/>
        </w:rPr>
      </w:pPr>
      <w:r>
        <w:fldChar w:fldCharType="begin"/>
      </w:r>
      <w:r>
        <w:instrText xml:space="preserve"> HYPERLINK \l "_Toc522545749" </w:instrText>
      </w:r>
      <w:r>
        <w:fldChar w:fldCharType="separate"/>
      </w:r>
      <w:r>
        <w:rPr>
          <w:rStyle w:val="33"/>
          <w:rFonts w:hint="eastAsia" w:ascii="黑体" w:hAnsi="黑体" w:eastAsia="黑体"/>
          <w:b/>
        </w:rPr>
        <w:t>附件</w:t>
      </w:r>
      <w:r>
        <w:rPr>
          <w:rStyle w:val="33"/>
          <w:rFonts w:ascii="黑体" w:hAnsi="黑体" w:eastAsia="黑体"/>
          <w:b/>
        </w:rPr>
        <w:t>6</w:t>
      </w:r>
      <w:r>
        <w:rPr>
          <w:rStyle w:val="33"/>
          <w:rFonts w:hint="eastAsia" w:ascii="黑体" w:hAnsi="黑体" w:eastAsia="黑体"/>
          <w:b/>
        </w:rPr>
        <w:t>：供应商情况表</w:t>
      </w:r>
      <w:r>
        <w:rPr>
          <w:rFonts w:ascii="黑体" w:hAnsi="黑体" w:eastAsia="黑体"/>
          <w:b/>
        </w:rPr>
        <w:tab/>
      </w:r>
      <w:r>
        <w:rPr>
          <w:rFonts w:hint="eastAsia" w:ascii="黑体" w:hAnsi="黑体" w:eastAsia="黑体"/>
          <w:b/>
          <w:lang w:val="en-US" w:eastAsia="zh-CN"/>
        </w:rPr>
        <w:t>2</w:t>
      </w:r>
      <w:r>
        <w:rPr>
          <w:rFonts w:ascii="黑体" w:hAnsi="黑体" w:eastAsia="黑体"/>
          <w:b/>
        </w:rPr>
        <w:fldChar w:fldCharType="end"/>
      </w:r>
      <w:r>
        <w:rPr>
          <w:rFonts w:hint="eastAsia" w:ascii="黑体" w:hAnsi="黑体" w:eastAsia="黑体"/>
          <w:b/>
          <w:lang w:val="en-US" w:eastAsia="zh-CN"/>
        </w:rPr>
        <w:t>3</w:t>
      </w:r>
    </w:p>
    <w:p>
      <w:pPr>
        <w:pStyle w:val="22"/>
        <w:tabs>
          <w:tab w:val="right" w:leader="dot" w:pos="9742"/>
        </w:tabs>
        <w:adjustRightInd/>
        <w:spacing w:line="360" w:lineRule="auto"/>
        <w:jc w:val="center"/>
        <w:rPr>
          <w:rFonts w:hint="eastAsia" w:ascii="黑体" w:hAnsi="黑体" w:eastAsia="黑体"/>
          <w:b/>
          <w:sz w:val="21"/>
          <w:szCs w:val="22"/>
          <w:lang w:val="en-US" w:eastAsia="zh-CN"/>
        </w:rPr>
      </w:pPr>
      <w:r>
        <w:fldChar w:fldCharType="begin"/>
      </w:r>
      <w:r>
        <w:instrText xml:space="preserve"> HYPERLINK \l "_Toc522545750" </w:instrText>
      </w:r>
      <w:r>
        <w:fldChar w:fldCharType="separate"/>
      </w:r>
      <w:r>
        <w:rPr>
          <w:rStyle w:val="33"/>
          <w:rFonts w:hint="eastAsia" w:ascii="黑体" w:hAnsi="黑体" w:eastAsia="黑体"/>
          <w:b/>
        </w:rPr>
        <w:t>附件</w:t>
      </w:r>
      <w:r>
        <w:rPr>
          <w:rStyle w:val="33"/>
          <w:rFonts w:ascii="黑体" w:hAnsi="黑体" w:eastAsia="黑体"/>
          <w:b/>
        </w:rPr>
        <w:t>7</w:t>
      </w:r>
      <w:r>
        <w:rPr>
          <w:rStyle w:val="33"/>
          <w:rFonts w:hint="eastAsia" w:ascii="黑体" w:hAnsi="黑体" w:eastAsia="黑体"/>
          <w:b/>
        </w:rPr>
        <w:t>：</w:t>
      </w:r>
      <w:r>
        <w:rPr>
          <w:rStyle w:val="33"/>
          <w:rFonts w:hint="eastAsia" w:ascii="黑体" w:hAnsi="黑体" w:eastAsia="黑体"/>
          <w:b/>
          <w:bCs/>
        </w:rPr>
        <w:t>供应商与其他单位存在控股、管理关系情况表</w:t>
      </w:r>
      <w:r>
        <w:rPr>
          <w:rFonts w:ascii="黑体" w:hAnsi="黑体" w:eastAsia="黑体"/>
          <w:b/>
        </w:rPr>
        <w:tab/>
      </w:r>
      <w:r>
        <w:rPr>
          <w:rFonts w:hint="eastAsia" w:ascii="黑体" w:hAnsi="黑体" w:eastAsia="黑体"/>
          <w:b/>
          <w:lang w:val="en-US" w:eastAsia="zh-CN"/>
        </w:rPr>
        <w:t>2</w:t>
      </w:r>
      <w:r>
        <w:rPr>
          <w:rFonts w:ascii="黑体" w:hAnsi="黑体" w:eastAsia="黑体"/>
          <w:b/>
        </w:rPr>
        <w:fldChar w:fldCharType="end"/>
      </w:r>
      <w:r>
        <w:rPr>
          <w:rFonts w:hint="eastAsia" w:ascii="黑体" w:hAnsi="黑体" w:eastAsia="黑体"/>
          <w:b/>
          <w:lang w:val="en-US" w:eastAsia="zh-CN"/>
        </w:rPr>
        <w:t>4</w:t>
      </w:r>
    </w:p>
    <w:p>
      <w:pPr>
        <w:pStyle w:val="22"/>
        <w:tabs>
          <w:tab w:val="right" w:leader="dot" w:pos="9742"/>
        </w:tabs>
        <w:adjustRightInd/>
        <w:spacing w:line="360" w:lineRule="auto"/>
        <w:jc w:val="center"/>
        <w:rPr>
          <w:rFonts w:hint="eastAsia" w:eastAsia="黑体"/>
          <w:sz w:val="21"/>
          <w:szCs w:val="22"/>
          <w:lang w:val="en-US" w:eastAsia="zh-CN"/>
        </w:rPr>
      </w:pPr>
      <w:r>
        <w:fldChar w:fldCharType="begin"/>
      </w:r>
      <w:r>
        <w:instrText xml:space="preserve"> HYPERLINK \l "_Toc522545754" </w:instrText>
      </w:r>
      <w:r>
        <w:fldChar w:fldCharType="separate"/>
      </w:r>
      <w:r>
        <w:rPr>
          <w:rStyle w:val="33"/>
          <w:rFonts w:hint="eastAsia" w:ascii="黑体" w:hAnsi="黑体" w:eastAsia="黑体"/>
          <w:b/>
        </w:rPr>
        <w:t>附件8、人员配备一览表</w:t>
      </w:r>
      <w:r>
        <w:rPr>
          <w:rFonts w:ascii="黑体" w:hAnsi="黑体" w:eastAsia="黑体"/>
          <w:b/>
        </w:rPr>
        <w:tab/>
      </w:r>
      <w:r>
        <w:rPr>
          <w:rFonts w:hint="eastAsia" w:ascii="黑体" w:hAnsi="黑体" w:eastAsia="黑体"/>
          <w:b/>
          <w:lang w:val="en-US" w:eastAsia="zh-CN"/>
        </w:rPr>
        <w:t>2</w:t>
      </w:r>
      <w:r>
        <w:rPr>
          <w:rFonts w:hint="eastAsia" w:ascii="黑体" w:hAnsi="黑体" w:eastAsia="黑体"/>
          <w:b/>
        </w:rPr>
        <w:fldChar w:fldCharType="end"/>
      </w:r>
      <w:r>
        <w:rPr>
          <w:rFonts w:hint="eastAsia" w:ascii="黑体" w:hAnsi="黑体" w:eastAsia="黑体"/>
          <w:b/>
          <w:lang w:val="en-US" w:eastAsia="zh-CN"/>
        </w:rPr>
        <w:t>5</w:t>
      </w:r>
    </w:p>
    <w:p>
      <w:pPr>
        <w:spacing w:line="360" w:lineRule="auto"/>
        <w:jc w:val="center"/>
        <w:rPr>
          <w:rFonts w:ascii="黑体" w:hAnsi="黑体" w:eastAsia="黑体"/>
          <w:b/>
          <w:bCs/>
          <w:sz w:val="30"/>
          <w:szCs w:val="30"/>
        </w:rPr>
      </w:pPr>
      <w:r>
        <w:rPr>
          <w:sz w:val="22"/>
          <w:szCs w:val="22"/>
        </w:rPr>
        <w:fldChar w:fldCharType="end"/>
      </w:r>
      <w:r>
        <w:rPr>
          <w:rFonts w:ascii="黑体" w:hAnsi="宋体" w:eastAsia="黑体"/>
          <w:b/>
          <w:bCs/>
          <w:sz w:val="30"/>
        </w:rPr>
        <w:br w:type="page"/>
      </w:r>
    </w:p>
    <w:p>
      <w:pPr>
        <w:spacing w:line="360" w:lineRule="auto"/>
        <w:jc w:val="center"/>
        <w:outlineLvl w:val="0"/>
        <w:rPr>
          <w:rFonts w:ascii="黑体" w:hAnsi="黑体" w:eastAsia="黑体"/>
          <w:b/>
          <w:bCs/>
          <w:sz w:val="30"/>
          <w:szCs w:val="30"/>
        </w:rPr>
      </w:pPr>
      <w:bookmarkStart w:id="0" w:name="_Toc522545743"/>
      <w:r>
        <w:rPr>
          <w:rFonts w:hint="eastAsia" w:ascii="黑体" w:hAnsi="黑体" w:eastAsia="黑体"/>
          <w:b/>
          <w:bCs/>
          <w:sz w:val="30"/>
          <w:szCs w:val="30"/>
        </w:rPr>
        <w:t>竞争性谈判采购文件</w:t>
      </w:r>
      <w:bookmarkEnd w:id="0"/>
    </w:p>
    <w:p>
      <w:pPr>
        <w:spacing w:line="360" w:lineRule="auto"/>
        <w:ind w:right="-159" w:firstLine="420" w:firstLineChars="200"/>
        <w:jc w:val="both"/>
        <w:rPr>
          <w:rFonts w:ascii="宋体" w:hAnsi="宋体"/>
          <w:sz w:val="21"/>
          <w:szCs w:val="21"/>
        </w:rPr>
      </w:pPr>
      <w:r>
        <w:rPr>
          <w:rFonts w:ascii="宋体" w:hAnsi="宋体"/>
          <w:sz w:val="21"/>
          <w:szCs w:val="21"/>
        </w:rPr>
        <w:t>南通港集团建设投资有限公司</w:t>
      </w:r>
      <w:r>
        <w:rPr>
          <w:rFonts w:hint="eastAsia" w:ascii="宋体" w:hAnsi="宋体"/>
          <w:sz w:val="21"/>
          <w:szCs w:val="21"/>
        </w:rPr>
        <w:t>，就</w:t>
      </w:r>
      <w:r>
        <w:rPr>
          <w:rFonts w:ascii="宋体" w:hAnsi="宋体"/>
          <w:sz w:val="21"/>
          <w:szCs w:val="21"/>
        </w:rPr>
        <w:t>其</w:t>
      </w:r>
      <w:r>
        <w:rPr>
          <w:rFonts w:hint="eastAsia" w:ascii="宋体" w:hAnsi="宋体"/>
          <w:sz w:val="21"/>
          <w:szCs w:val="21"/>
        </w:rPr>
        <w:t>所需的</w:t>
      </w:r>
      <w:r>
        <w:rPr>
          <w:rFonts w:hint="eastAsia" w:ascii="宋体" w:hAnsi="宋体"/>
          <w:color w:val="auto"/>
          <w:sz w:val="21"/>
          <w:szCs w:val="21"/>
          <w:highlight w:val="none"/>
          <w:lang w:eastAsia="zh-CN"/>
        </w:rPr>
        <w:t>南通港通海港区至通州湾港区铁路专用线一期工程项目特许经营咨询</w:t>
      </w:r>
      <w:r>
        <w:rPr>
          <w:rFonts w:hint="eastAsia" w:ascii="宋体" w:hAnsi="宋体"/>
          <w:color w:val="auto"/>
          <w:sz w:val="21"/>
          <w:szCs w:val="21"/>
          <w:highlight w:val="none"/>
        </w:rPr>
        <w:t>服务</w:t>
      </w:r>
      <w:r>
        <w:rPr>
          <w:rFonts w:hint="eastAsia" w:asciiTheme="minorEastAsia" w:hAnsiTheme="minorEastAsia" w:eastAsiaTheme="minorEastAsia"/>
          <w:color w:val="auto"/>
          <w:sz w:val="21"/>
          <w:szCs w:val="21"/>
          <w:highlight w:val="none"/>
        </w:rPr>
        <w:t>工作</w:t>
      </w:r>
      <w:r>
        <w:rPr>
          <w:rFonts w:hint="eastAsia" w:ascii="宋体" w:hAnsi="宋体"/>
          <w:sz w:val="21"/>
          <w:szCs w:val="21"/>
        </w:rPr>
        <w:t>采用竞争性谈判方式</w:t>
      </w:r>
      <w:r>
        <w:rPr>
          <w:rFonts w:ascii="宋体" w:hAnsi="宋体"/>
          <w:sz w:val="21"/>
          <w:szCs w:val="21"/>
        </w:rPr>
        <w:t>进行</w:t>
      </w:r>
      <w:r>
        <w:rPr>
          <w:rFonts w:hint="eastAsia" w:ascii="宋体" w:hAnsi="宋体"/>
          <w:sz w:val="21"/>
          <w:szCs w:val="21"/>
        </w:rPr>
        <w:t>采购。欢迎符合资格条件的供应商前来参加谈判。</w:t>
      </w:r>
    </w:p>
    <w:p>
      <w:pPr>
        <w:tabs>
          <w:tab w:val="left" w:pos="3600"/>
        </w:tabs>
        <w:autoSpaceDE w:val="0"/>
        <w:autoSpaceDN w:val="0"/>
        <w:spacing w:line="360" w:lineRule="auto"/>
        <w:rPr>
          <w:rFonts w:ascii="宋体" w:hAnsi="宋体"/>
          <w:sz w:val="21"/>
          <w:szCs w:val="21"/>
        </w:rPr>
      </w:pPr>
      <w:r>
        <w:rPr>
          <w:rFonts w:ascii="宋体" w:hAnsi="宋体"/>
          <w:b/>
          <w:bCs/>
          <w:sz w:val="21"/>
          <w:szCs w:val="21"/>
        </w:rPr>
        <w:t>一、采购编号：</w:t>
      </w:r>
      <w:r>
        <w:rPr>
          <w:rFonts w:hint="eastAsia" w:asciiTheme="minorEastAsia" w:hAnsiTheme="minorEastAsia" w:eastAsiaTheme="minorEastAsia"/>
          <w:sz w:val="21"/>
          <w:szCs w:val="21"/>
          <w:highlight w:val="none"/>
        </w:rPr>
        <w:t>NTGJT-</w:t>
      </w:r>
      <w:r>
        <w:rPr>
          <w:rFonts w:hint="eastAsia" w:asciiTheme="minorEastAsia" w:hAnsiTheme="minorEastAsia" w:eastAsiaTheme="minorEastAsia"/>
          <w:sz w:val="21"/>
          <w:szCs w:val="21"/>
          <w:highlight w:val="none"/>
          <w:lang w:val="en-US" w:eastAsia="zh-CN"/>
        </w:rPr>
        <w:t>TXJYZX</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0515</w:t>
      </w:r>
    </w:p>
    <w:p>
      <w:pPr>
        <w:spacing w:line="360" w:lineRule="auto"/>
        <w:jc w:val="both"/>
        <w:outlineLvl w:val="1"/>
        <w:rPr>
          <w:rFonts w:ascii="宋体" w:hAnsi="宋体"/>
          <w:b/>
          <w:sz w:val="21"/>
          <w:szCs w:val="21"/>
        </w:rPr>
      </w:pPr>
      <w:r>
        <w:rPr>
          <w:rFonts w:hint="eastAsia" w:ascii="宋体" w:hAnsi="宋体"/>
          <w:b/>
          <w:sz w:val="21"/>
          <w:szCs w:val="21"/>
        </w:rPr>
        <w:t>二、采购</w:t>
      </w:r>
      <w:r>
        <w:rPr>
          <w:rFonts w:hint="eastAsia" w:ascii="宋体" w:hAnsi="宋体" w:cs="Arial"/>
          <w:b/>
          <w:sz w:val="21"/>
          <w:szCs w:val="21"/>
        </w:rPr>
        <w:t>内容</w:t>
      </w:r>
      <w:r>
        <w:rPr>
          <w:rFonts w:hint="eastAsia" w:ascii="宋体" w:hAnsi="宋体"/>
          <w:b/>
          <w:sz w:val="21"/>
          <w:szCs w:val="21"/>
        </w:rPr>
        <w:t>：</w:t>
      </w:r>
    </w:p>
    <w:p>
      <w:pPr>
        <w:tabs>
          <w:tab w:val="left" w:pos="3600"/>
        </w:tabs>
        <w:autoSpaceDE w:val="0"/>
        <w:autoSpaceDN w:val="0"/>
        <w:spacing w:line="360" w:lineRule="auto"/>
        <w:ind w:firstLine="420" w:firstLineChars="200"/>
        <w:rPr>
          <w:rFonts w:hint="eastAsia" w:asciiTheme="minorEastAsia" w:hAnsiTheme="minorEastAsia" w:eastAsiaTheme="minorEastAsia"/>
          <w:sz w:val="21"/>
          <w:szCs w:val="21"/>
          <w:highlight w:val="none"/>
          <w:lang w:val="en-US" w:eastAsia="zh-CN"/>
        </w:rPr>
      </w:pPr>
      <w:r>
        <w:rPr>
          <w:rFonts w:hint="eastAsia" w:ascii="宋体" w:hAnsi="宋体"/>
          <w:sz w:val="21"/>
          <w:szCs w:val="21"/>
        </w:rPr>
        <w:t>服务内容</w:t>
      </w:r>
      <w:r>
        <w:rPr>
          <w:rFonts w:ascii="宋体" w:hAnsi="宋体"/>
          <w:sz w:val="21"/>
          <w:szCs w:val="21"/>
        </w:rPr>
        <w:t>：</w:t>
      </w:r>
      <w:r>
        <w:rPr>
          <w:rFonts w:hint="eastAsia" w:asciiTheme="minorEastAsia" w:hAnsiTheme="minorEastAsia" w:eastAsiaTheme="minorEastAsia"/>
          <w:sz w:val="21"/>
          <w:szCs w:val="21"/>
          <w:highlight w:val="none"/>
          <w:lang w:val="en-US" w:eastAsia="zh-CN"/>
        </w:rPr>
        <w:t>编制、报审本项目《特许经营实施方案》</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编制《特许经营协议》；配合我司开展社会资本征集工作；配合我司组织《特许经营实施方案》、《特许经营协议》的征求相关部门意见、专家论证和上报审查工作。</w:t>
      </w:r>
    </w:p>
    <w:p>
      <w:pPr>
        <w:tabs>
          <w:tab w:val="left" w:pos="3600"/>
        </w:tabs>
        <w:autoSpaceDE w:val="0"/>
        <w:autoSpaceDN w:val="0"/>
        <w:spacing w:line="360" w:lineRule="auto"/>
        <w:ind w:firstLine="420" w:firstLineChars="200"/>
        <w:rPr>
          <w:rFonts w:hint="eastAsia" w:asciiTheme="minorEastAsia" w:hAnsiTheme="minorEastAsia" w:eastAsiaTheme="minorEastAsia"/>
          <w:sz w:val="21"/>
          <w:szCs w:val="21"/>
          <w:highlight w:val="none"/>
          <w:lang w:val="en-US" w:eastAsia="zh-CN"/>
        </w:rPr>
      </w:pPr>
      <w:r>
        <w:rPr>
          <w:rFonts w:hint="eastAsia" w:ascii="宋体" w:hAnsi="宋体"/>
          <w:sz w:val="21"/>
          <w:szCs w:val="21"/>
        </w:rPr>
        <w:t>服务期限：</w:t>
      </w:r>
      <w:r>
        <w:rPr>
          <w:rFonts w:hint="eastAsia" w:asciiTheme="minorEastAsia" w:hAnsiTheme="minorEastAsia" w:eastAsiaTheme="minorEastAsia"/>
          <w:sz w:val="21"/>
          <w:szCs w:val="21"/>
          <w:highlight w:val="none"/>
          <w:lang w:val="en-US" w:eastAsia="zh-CN"/>
        </w:rPr>
        <w:t>完成《特许经营实施方案》编制、社会资本征集、征求相关部门意见、专家论证和上报市政府：2019年5月31日前；完成《特许经营协议》编制、征求相关部门意见、专家论证和上报市政府：2019年6月15日前；特许经营采购：2019年6月~2019年7月。</w:t>
      </w:r>
    </w:p>
    <w:p>
      <w:pPr>
        <w:spacing w:line="360" w:lineRule="auto"/>
        <w:ind w:firstLine="420" w:firstLineChars="200"/>
        <w:jc w:val="both"/>
        <w:rPr>
          <w:rFonts w:ascii="宋体" w:hAnsi="宋体"/>
          <w:sz w:val="21"/>
          <w:szCs w:val="21"/>
        </w:rPr>
      </w:pPr>
      <w:r>
        <w:rPr>
          <w:rFonts w:hint="eastAsia" w:ascii="宋体" w:hAnsi="宋体"/>
          <w:sz w:val="21"/>
          <w:szCs w:val="21"/>
        </w:rPr>
        <w:t>服务地点：南通市</w:t>
      </w:r>
    </w:p>
    <w:p>
      <w:pPr>
        <w:tabs>
          <w:tab w:val="left" w:pos="630"/>
        </w:tabs>
        <w:spacing w:line="360" w:lineRule="auto"/>
        <w:jc w:val="both"/>
        <w:outlineLvl w:val="1"/>
        <w:rPr>
          <w:rFonts w:ascii="宋体" w:hAnsi="宋体"/>
          <w:b/>
          <w:sz w:val="21"/>
          <w:szCs w:val="21"/>
        </w:rPr>
      </w:pPr>
      <w:r>
        <w:rPr>
          <w:rFonts w:hint="eastAsia" w:ascii="宋体" w:hAnsi="宋体" w:cs="Arial"/>
          <w:b/>
          <w:sz w:val="21"/>
          <w:szCs w:val="21"/>
        </w:rPr>
        <w:t>三、采购预算：</w:t>
      </w:r>
      <w:r>
        <w:rPr>
          <w:rFonts w:hint="eastAsia" w:ascii="宋体" w:hAnsi="宋体" w:cs="Arial"/>
          <w:b/>
          <w:sz w:val="21"/>
          <w:szCs w:val="21"/>
          <w:highlight w:val="none"/>
          <w:lang w:eastAsia="zh-CN"/>
        </w:rPr>
        <w:t>捌拾</w:t>
      </w:r>
      <w:r>
        <w:rPr>
          <w:rFonts w:hint="eastAsia" w:ascii="宋体" w:hAnsi="宋体" w:cs="Arial"/>
          <w:b/>
          <w:sz w:val="21"/>
          <w:szCs w:val="21"/>
          <w:highlight w:val="none"/>
        </w:rPr>
        <w:t>万</w:t>
      </w:r>
      <w:r>
        <w:rPr>
          <w:rFonts w:ascii="宋体" w:hAnsi="宋体"/>
          <w:b/>
          <w:sz w:val="21"/>
          <w:szCs w:val="21"/>
          <w:highlight w:val="none"/>
        </w:rPr>
        <w:t>圆</w:t>
      </w:r>
      <w:r>
        <w:rPr>
          <w:rFonts w:hint="eastAsia" w:ascii="宋体" w:hAnsi="宋体"/>
          <w:b/>
          <w:sz w:val="21"/>
          <w:szCs w:val="21"/>
          <w:highlight w:val="none"/>
        </w:rPr>
        <w:t>人民币</w:t>
      </w:r>
      <w:r>
        <w:rPr>
          <w:rFonts w:ascii="宋体" w:hAnsi="宋体"/>
          <w:b/>
          <w:sz w:val="21"/>
          <w:szCs w:val="21"/>
          <w:highlight w:val="none"/>
        </w:rPr>
        <w:t>整</w:t>
      </w:r>
      <w:r>
        <w:rPr>
          <w:rFonts w:hint="eastAsia" w:ascii="宋体" w:hAnsi="宋体"/>
          <w:b/>
          <w:sz w:val="21"/>
          <w:szCs w:val="21"/>
          <w:highlight w:val="none"/>
        </w:rPr>
        <w:t>（￥</w:t>
      </w:r>
      <w:r>
        <w:rPr>
          <w:rFonts w:hint="eastAsia" w:ascii="宋体" w:hAnsi="宋体"/>
          <w:b/>
          <w:sz w:val="21"/>
          <w:szCs w:val="21"/>
          <w:highlight w:val="none"/>
          <w:lang w:val="en-US" w:eastAsia="zh-CN"/>
        </w:rPr>
        <w:t>80</w:t>
      </w:r>
      <w:r>
        <w:rPr>
          <w:rFonts w:hint="eastAsia" w:ascii="宋体" w:hAnsi="宋体"/>
          <w:b/>
          <w:sz w:val="21"/>
          <w:szCs w:val="21"/>
          <w:highlight w:val="none"/>
        </w:rPr>
        <w:t>0，000.00）</w:t>
      </w:r>
    </w:p>
    <w:p>
      <w:pPr>
        <w:tabs>
          <w:tab w:val="left" w:pos="630"/>
        </w:tabs>
        <w:spacing w:line="360" w:lineRule="auto"/>
        <w:jc w:val="both"/>
        <w:outlineLvl w:val="1"/>
        <w:rPr>
          <w:rFonts w:ascii="宋体" w:hAnsi="宋体"/>
          <w:b/>
          <w:sz w:val="21"/>
        </w:rPr>
      </w:pPr>
      <w:r>
        <w:rPr>
          <w:rFonts w:hint="eastAsia" w:ascii="宋体" w:hAnsi="宋体"/>
          <w:b/>
          <w:sz w:val="21"/>
          <w:szCs w:val="21"/>
        </w:rPr>
        <w:t>四、</w:t>
      </w:r>
      <w:r>
        <w:rPr>
          <w:rFonts w:ascii="宋体" w:hAnsi="宋体"/>
          <w:b/>
          <w:sz w:val="21"/>
          <w:szCs w:val="21"/>
        </w:rPr>
        <w:t>合格供应商的</w:t>
      </w:r>
      <w:r>
        <w:rPr>
          <w:rFonts w:hint="eastAsia" w:ascii="宋体" w:hAnsi="宋体"/>
          <w:b/>
          <w:sz w:val="21"/>
          <w:szCs w:val="21"/>
        </w:rPr>
        <w:t>资格</w:t>
      </w:r>
      <w:r>
        <w:rPr>
          <w:rFonts w:ascii="宋体" w:hAnsi="宋体"/>
          <w:b/>
          <w:sz w:val="21"/>
          <w:szCs w:val="21"/>
        </w:rPr>
        <w:t>条件：</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 w:val="21"/>
        </w:rPr>
        <w:t>1.1</w:t>
      </w:r>
      <w:r>
        <w:rPr>
          <w:rFonts w:hint="eastAsia" w:ascii="宋体" w:hAnsi="宋体"/>
          <w:sz w:val="21"/>
          <w:highlight w:val="none"/>
          <w:lang w:val="en-US" w:eastAsia="zh-CN"/>
        </w:rPr>
        <w:t>投标人应为江苏省财政厅《江苏省PPP项目专业咨询服务机构库》入库单位。</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 w:val="21"/>
          <w:highlight w:val="none"/>
        </w:rPr>
        <w:t>1.2</w:t>
      </w:r>
      <w:r>
        <w:rPr>
          <w:rFonts w:hint="eastAsia" w:ascii="宋体" w:hAnsi="宋体"/>
          <w:sz w:val="21"/>
          <w:highlight w:val="none"/>
          <w:lang w:val="en-US" w:eastAsia="zh-CN"/>
        </w:rPr>
        <w:t>单位业绩要求：近两年至少独立完成过一项铁路或公路项目的“PPP或BOT”实施方案和协议咨询工作的成功案列（项目落地且至少已经进入建设施工阶段）。</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 w:val="21"/>
          <w:highlight w:val="none"/>
        </w:rPr>
        <w:t>1.3</w:t>
      </w:r>
      <w:r>
        <w:rPr>
          <w:rFonts w:hint="eastAsia" w:ascii="宋体" w:hAnsi="宋体"/>
          <w:sz w:val="21"/>
          <w:highlight w:val="none"/>
          <w:lang w:val="en-US" w:eastAsia="zh-CN"/>
        </w:rPr>
        <w:t>项目负责人要求：项目负责人必须为参选单位在职、注册员工；具备土木工程类或工程经济类及相关专业高级职称；具备注册咨询工程师（投资）执业资格；近两年至少担任过一项类似规模的铁路或公路项目的“PPP或BOT”实施方案和协议咨询工作的成功案列（项目落地且至少已经进入建设施工阶段）的项目负责人。无不良信用记录。</w:t>
      </w:r>
    </w:p>
    <w:p>
      <w:pPr>
        <w:adjustRightInd w:val="0"/>
        <w:snapToGrid w:val="0"/>
        <w:spacing w:line="360" w:lineRule="auto"/>
        <w:ind w:firstLine="420" w:firstLineChars="200"/>
        <w:rPr>
          <w:rFonts w:hint="eastAsia" w:ascii="宋体" w:hAnsi="宋体"/>
          <w:szCs w:val="21"/>
          <w:highlight w:val="none"/>
          <w:lang w:val="en-US" w:eastAsia="zh-CN"/>
        </w:rPr>
      </w:pPr>
      <w:r>
        <w:rPr>
          <w:rFonts w:hint="eastAsia" w:ascii="宋体" w:hAnsi="宋体"/>
          <w:sz w:val="21"/>
          <w:highlight w:val="none"/>
        </w:rPr>
        <w:t>1.4</w:t>
      </w:r>
      <w:r>
        <w:rPr>
          <w:rFonts w:hint="eastAsia" w:ascii="宋体" w:hAnsi="宋体"/>
          <w:sz w:val="21"/>
          <w:highlight w:val="none"/>
          <w:lang w:val="en-US" w:eastAsia="zh-CN"/>
        </w:rPr>
        <w:t>项目团队中工程、财务、经济、法律等专项负责人资质及业绩要求：均应为参选单位在职、注册员工；应具备相关专业中级以上职称和相应执业资格(注册咨询工程师(投资)、注册造价工程师、注册会计师、法律职业资格证、一级建造师、投资建设项目管理师等)，近两年至少担任过一项铁路或公路项目的“PPP或BOT”实施方案和协议咨询工作的成功案例(项目落地且至少已经进入建设施工阶段)的专项负责人。无不良信用记录。</w:t>
      </w:r>
    </w:p>
    <w:p>
      <w:pPr>
        <w:spacing w:line="360" w:lineRule="auto"/>
        <w:ind w:firstLine="420" w:firstLineChars="200"/>
        <w:jc w:val="both"/>
        <w:rPr>
          <w:rFonts w:hint="eastAsia" w:ascii="宋体" w:hAnsi="宋体"/>
          <w:sz w:val="21"/>
          <w:highlight w:val="none"/>
          <w:lang w:val="en-US" w:eastAsia="zh-CN"/>
        </w:rPr>
      </w:pPr>
      <w:r>
        <w:rPr>
          <w:rFonts w:hint="eastAsia" w:ascii="宋体" w:hAnsi="宋体"/>
          <w:sz w:val="21"/>
          <w:highlight w:val="none"/>
        </w:rPr>
        <w:t>1.5</w:t>
      </w:r>
      <w:r>
        <w:rPr>
          <w:rFonts w:hint="eastAsia" w:ascii="宋体" w:hAnsi="宋体"/>
          <w:sz w:val="21"/>
          <w:highlight w:val="none"/>
          <w:lang w:val="en-US" w:eastAsia="zh-CN"/>
        </w:rPr>
        <w:t>法律、行政法规规定的其他条件。</w:t>
      </w:r>
    </w:p>
    <w:p>
      <w:pPr>
        <w:tabs>
          <w:tab w:val="left" w:pos="630"/>
        </w:tabs>
        <w:spacing w:line="360" w:lineRule="auto"/>
        <w:ind w:firstLine="422" w:firstLineChars="200"/>
        <w:jc w:val="both"/>
        <w:rPr>
          <w:rFonts w:hint="eastAsia" w:ascii="宋体" w:hAnsi="宋体" w:eastAsia="宋体"/>
          <w:b/>
          <w:bCs/>
          <w:sz w:val="21"/>
          <w:lang w:eastAsia="zh-CN"/>
        </w:rPr>
      </w:pPr>
      <w:r>
        <w:rPr>
          <w:rFonts w:hint="eastAsia" w:ascii="宋体" w:hAnsi="宋体"/>
          <w:b/>
          <w:bCs/>
          <w:sz w:val="21"/>
        </w:rPr>
        <w:t>注</w:t>
      </w:r>
      <w:r>
        <w:rPr>
          <w:rFonts w:ascii="宋体" w:hAnsi="宋体"/>
          <w:b/>
          <w:bCs/>
          <w:sz w:val="21"/>
        </w:rPr>
        <w:t>：</w:t>
      </w:r>
      <w:bookmarkStart w:id="1" w:name="_Toc194889159"/>
      <w:bookmarkStart w:id="2" w:name="_Toc101780564"/>
      <w:bookmarkStart w:id="3" w:name="_Toc132080637"/>
      <w:bookmarkStart w:id="4" w:name="_Toc194978426"/>
      <w:bookmarkStart w:id="5" w:name="_Toc322358926"/>
      <w:bookmarkStart w:id="6" w:name="_Toc194136610"/>
      <w:bookmarkStart w:id="7" w:name="_Toc322361956"/>
      <w:r>
        <w:rPr>
          <w:rFonts w:hint="eastAsia" w:ascii="宋体" w:hAnsi="宋体"/>
          <w:b/>
          <w:bCs/>
          <w:sz w:val="21"/>
        </w:rPr>
        <w:t>本项目不接受多个供应商组成联合体参与谈判。与</w:t>
      </w:r>
      <w:r>
        <w:rPr>
          <w:rFonts w:hint="eastAsia" w:ascii="宋体" w:hAnsi="宋体"/>
          <w:b/>
          <w:bCs/>
          <w:sz w:val="21"/>
          <w:lang w:eastAsia="zh-CN"/>
        </w:rPr>
        <w:t>采购</w:t>
      </w:r>
      <w:r>
        <w:rPr>
          <w:rFonts w:hint="eastAsia" w:ascii="宋体" w:hAnsi="宋体"/>
          <w:b/>
          <w:bCs/>
          <w:sz w:val="21"/>
        </w:rPr>
        <w:t>人存在利害关系可能影响</w:t>
      </w:r>
      <w:r>
        <w:rPr>
          <w:rFonts w:hint="eastAsia" w:ascii="宋体" w:hAnsi="宋体"/>
          <w:b/>
          <w:bCs/>
          <w:sz w:val="21"/>
          <w:lang w:eastAsia="zh-CN"/>
        </w:rPr>
        <w:t>采购</w:t>
      </w:r>
      <w:r>
        <w:rPr>
          <w:rFonts w:hint="eastAsia" w:ascii="宋体" w:hAnsi="宋体"/>
          <w:b/>
          <w:bCs/>
          <w:sz w:val="21"/>
        </w:rPr>
        <w:t>公正性的单位，不得参加投标。单位负责人为同一人或存在控股、管理关系的不同单位，不得参加同一标段</w:t>
      </w:r>
      <w:r>
        <w:rPr>
          <w:rFonts w:hint="eastAsia" w:ascii="宋体" w:hAnsi="宋体"/>
          <w:b/>
          <w:bCs/>
          <w:sz w:val="21"/>
          <w:lang w:eastAsia="zh-CN"/>
        </w:rPr>
        <w:t>谈判</w:t>
      </w:r>
      <w:r>
        <w:rPr>
          <w:rFonts w:hint="eastAsia" w:ascii="宋体" w:hAnsi="宋体"/>
          <w:b/>
          <w:bCs/>
          <w:sz w:val="21"/>
        </w:rPr>
        <w:t>，否则，相关</w:t>
      </w:r>
      <w:r>
        <w:rPr>
          <w:rFonts w:hint="eastAsia" w:ascii="宋体" w:hAnsi="宋体"/>
          <w:b/>
          <w:bCs/>
          <w:sz w:val="21"/>
          <w:lang w:eastAsia="zh-CN"/>
        </w:rPr>
        <w:t>谈判</w:t>
      </w:r>
      <w:r>
        <w:rPr>
          <w:rFonts w:hint="eastAsia" w:ascii="宋体" w:hAnsi="宋体"/>
          <w:b/>
          <w:bCs/>
          <w:sz w:val="21"/>
        </w:rPr>
        <w:t>均无效</w:t>
      </w:r>
      <w:r>
        <w:rPr>
          <w:rFonts w:hint="eastAsia" w:ascii="宋体" w:hAnsi="宋体"/>
          <w:b/>
          <w:bCs/>
          <w:sz w:val="21"/>
          <w:lang w:eastAsia="zh-CN"/>
        </w:rPr>
        <w:t>。</w:t>
      </w:r>
    </w:p>
    <w:p>
      <w:pPr>
        <w:tabs>
          <w:tab w:val="left" w:pos="4680"/>
        </w:tabs>
        <w:spacing w:line="360" w:lineRule="auto"/>
        <w:jc w:val="both"/>
        <w:outlineLvl w:val="1"/>
        <w:rPr>
          <w:rFonts w:ascii="宋体" w:hAnsi="宋体"/>
          <w:b/>
          <w:sz w:val="21"/>
          <w:szCs w:val="21"/>
        </w:rPr>
      </w:pPr>
      <w:r>
        <w:rPr>
          <w:rFonts w:hint="eastAsia" w:ascii="宋体" w:hAnsi="宋体"/>
          <w:b/>
          <w:sz w:val="21"/>
          <w:szCs w:val="21"/>
        </w:rPr>
        <w:t>五</w:t>
      </w:r>
      <w:r>
        <w:rPr>
          <w:rFonts w:ascii="宋体" w:hAnsi="宋体"/>
          <w:b/>
          <w:sz w:val="21"/>
          <w:szCs w:val="21"/>
        </w:rPr>
        <w:t>、</w:t>
      </w:r>
      <w:r>
        <w:rPr>
          <w:rFonts w:hint="eastAsia" w:ascii="宋体" w:hAnsi="宋体"/>
          <w:b/>
          <w:sz w:val="21"/>
          <w:szCs w:val="21"/>
        </w:rPr>
        <w:t>项目说明及要求：</w:t>
      </w:r>
    </w:p>
    <w:bookmarkEnd w:id="1"/>
    <w:bookmarkEnd w:id="2"/>
    <w:bookmarkEnd w:id="3"/>
    <w:bookmarkEnd w:id="4"/>
    <w:bookmarkEnd w:id="5"/>
    <w:bookmarkEnd w:id="6"/>
    <w:bookmarkEnd w:id="7"/>
    <w:p>
      <w:pPr>
        <w:adjustRightInd w:val="0"/>
        <w:snapToGrid w:val="0"/>
        <w:spacing w:line="360" w:lineRule="auto"/>
        <w:ind w:firstLine="422" w:firstLineChars="200"/>
        <w:rPr>
          <w:rFonts w:hint="eastAsia" w:ascii="宋体" w:hAnsi="宋体"/>
          <w:b/>
          <w:bCs/>
          <w:sz w:val="21"/>
          <w:szCs w:val="21"/>
        </w:rPr>
      </w:pPr>
      <w:r>
        <w:rPr>
          <w:rFonts w:hint="eastAsia" w:ascii="宋体" w:hAnsi="宋体"/>
          <w:b/>
          <w:bCs/>
          <w:sz w:val="21"/>
          <w:szCs w:val="21"/>
        </w:rPr>
        <w:t>（一）工程项目概况及工作内容：</w:t>
      </w:r>
    </w:p>
    <w:p>
      <w:pPr>
        <w:adjustRightInd w:val="0"/>
        <w:snapToGrid w:val="0"/>
        <w:spacing w:line="360" w:lineRule="auto"/>
        <w:ind w:firstLine="422" w:firstLineChars="200"/>
        <w:rPr>
          <w:rFonts w:hint="eastAsia" w:ascii="宋体" w:hAnsi="宋体" w:eastAsia="宋体"/>
          <w:bCs/>
          <w:sz w:val="21"/>
          <w:szCs w:val="21"/>
          <w:lang w:eastAsia="zh-CN"/>
        </w:rPr>
      </w:pPr>
      <w:r>
        <w:rPr>
          <w:rFonts w:hint="eastAsia" w:ascii="宋体" w:hAnsi="宋体"/>
          <w:b/>
          <w:bCs/>
          <w:sz w:val="21"/>
          <w:szCs w:val="21"/>
        </w:rPr>
        <w:t>（1）概况：</w:t>
      </w:r>
      <w:r>
        <w:rPr>
          <w:rFonts w:hint="eastAsia" w:ascii="宋体" w:hAnsi="宋体"/>
          <w:bCs/>
          <w:sz w:val="21"/>
          <w:szCs w:val="21"/>
        </w:rPr>
        <w:t>南通港通海港区至通州湾港区铁路专用线一期工程位于江苏省海门市境内，接轨于宁启二期海门站，至通海港区作业站，线路全长约24.587km。按Ⅳ级铁路标准设计建设，新建单线货运铁路，设计行车速度 60 公里/小时，内燃牵引，预留电化条件。主要工程内容包括新建通海港港区作业站、专用线正线铁路、接轨站海门站相关改扩建等工程。项目估算总额约28.8亿元</w:t>
      </w:r>
      <w:r>
        <w:rPr>
          <w:rFonts w:hint="eastAsia" w:ascii="宋体" w:hAnsi="宋体"/>
          <w:bCs/>
          <w:sz w:val="21"/>
          <w:szCs w:val="21"/>
          <w:lang w:eastAsia="zh-CN"/>
        </w:rPr>
        <w:t>。</w:t>
      </w:r>
    </w:p>
    <w:p>
      <w:pPr>
        <w:tabs>
          <w:tab w:val="left" w:pos="3600"/>
        </w:tabs>
        <w:autoSpaceDE w:val="0"/>
        <w:autoSpaceDN w:val="0"/>
        <w:spacing w:line="360" w:lineRule="auto"/>
        <w:ind w:firstLine="422" w:firstLineChars="200"/>
        <w:rPr>
          <w:rFonts w:asciiTheme="minorEastAsia" w:hAnsiTheme="minorEastAsia" w:eastAsiaTheme="minorEastAsia"/>
          <w:sz w:val="21"/>
          <w:szCs w:val="21"/>
          <w:highlight w:val="none"/>
        </w:rPr>
      </w:pPr>
      <w:r>
        <w:rPr>
          <w:rFonts w:hint="eastAsia" w:ascii="宋体" w:hAnsi="宋体"/>
          <w:b/>
          <w:sz w:val="21"/>
          <w:szCs w:val="21"/>
        </w:rPr>
        <w:t>（2）主要工作内容：</w:t>
      </w:r>
      <w:r>
        <w:rPr>
          <w:rFonts w:hint="eastAsia" w:asciiTheme="minorEastAsia" w:hAnsiTheme="minorEastAsia" w:eastAsiaTheme="minorEastAsia"/>
          <w:sz w:val="21"/>
          <w:szCs w:val="21"/>
          <w:highlight w:val="none"/>
          <w:lang w:val="en-US" w:eastAsia="zh-CN"/>
        </w:rPr>
        <w:t>编制、报审本项目《特许经营实施方案》</w:t>
      </w:r>
      <w:r>
        <w:rPr>
          <w:rFonts w:hint="eastAsia" w:asciiTheme="minorEastAsia" w:hAnsiTheme="minorEastAsia" w:eastAsiaTheme="minorEastAsia"/>
          <w:sz w:val="21"/>
          <w:szCs w:val="21"/>
          <w:highlight w:val="none"/>
        </w:rPr>
        <w:t>；</w:t>
      </w:r>
      <w:r>
        <w:rPr>
          <w:rFonts w:hint="eastAsia" w:asciiTheme="minorEastAsia" w:hAnsiTheme="minorEastAsia" w:eastAsiaTheme="minorEastAsia"/>
          <w:sz w:val="21"/>
          <w:szCs w:val="21"/>
          <w:highlight w:val="none"/>
          <w:lang w:val="en-US" w:eastAsia="zh-CN"/>
        </w:rPr>
        <w:t>编制《特许经营协议》；配合我司开展社会资本征集工作；配合我司组织《特许经营实施方案》、《特许经营协议》的征求相关部门意见、专家论证和上报审查工作。</w:t>
      </w:r>
    </w:p>
    <w:p>
      <w:pPr>
        <w:spacing w:line="360" w:lineRule="auto"/>
        <w:ind w:firstLine="422" w:firstLineChars="200"/>
        <w:jc w:val="both"/>
        <w:outlineLvl w:val="2"/>
        <w:rPr>
          <w:rFonts w:ascii="宋体" w:hAnsi="宋体"/>
          <w:b/>
          <w:bCs/>
          <w:sz w:val="21"/>
          <w:szCs w:val="21"/>
        </w:rPr>
      </w:pPr>
      <w:r>
        <w:rPr>
          <w:rFonts w:hint="eastAsia" w:ascii="宋体" w:hAnsi="宋体"/>
          <w:b/>
          <w:bCs/>
          <w:sz w:val="21"/>
          <w:szCs w:val="21"/>
        </w:rPr>
        <w:t>（二）服务</w:t>
      </w:r>
      <w:r>
        <w:rPr>
          <w:rFonts w:ascii="宋体" w:hAnsi="宋体"/>
          <w:b/>
          <w:bCs/>
          <w:sz w:val="21"/>
          <w:szCs w:val="21"/>
        </w:rPr>
        <w:t>要求：</w:t>
      </w:r>
    </w:p>
    <w:p>
      <w:pPr>
        <w:spacing w:line="360" w:lineRule="auto"/>
        <w:ind w:firstLine="310" w:firstLineChars="147"/>
        <w:rPr>
          <w:rFonts w:hint="eastAsia" w:asciiTheme="minorEastAsia" w:hAnsiTheme="minorEastAsia" w:eastAsiaTheme="minorEastAsia"/>
          <w:b/>
          <w:sz w:val="21"/>
          <w:szCs w:val="21"/>
        </w:rPr>
      </w:pPr>
      <w:r>
        <w:rPr>
          <w:rFonts w:hint="eastAsia" w:ascii="宋体" w:hAnsi="宋体"/>
          <w:b/>
          <w:bCs/>
          <w:sz w:val="21"/>
          <w:szCs w:val="21"/>
        </w:rPr>
        <w:t>（1）</w:t>
      </w:r>
      <w:r>
        <w:rPr>
          <w:rFonts w:hint="eastAsia" w:asciiTheme="minorEastAsia" w:hAnsiTheme="minorEastAsia" w:eastAsiaTheme="minorEastAsia"/>
          <w:b/>
          <w:sz w:val="21"/>
          <w:szCs w:val="21"/>
        </w:rPr>
        <w:t>编制、报审本项目《特许经营实施方案》。具体工作内容包括：</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在工可研究成果和独立调查、研究、分析、测算、征求意见的基础上，编制《特许经营实施方案》。</w:t>
      </w:r>
    </w:p>
    <w:p>
      <w:pPr>
        <w:spacing w:line="360" w:lineRule="auto"/>
        <w:ind w:firstLine="420" w:firstLineChars="200"/>
        <w:rPr>
          <w:rFonts w:hint="eastAsia" w:asciiTheme="minorEastAsia" w:hAnsiTheme="minorEastAsia" w:eastAsiaTheme="minorEastAsia"/>
          <w:sz w:val="21"/>
          <w:szCs w:val="21"/>
        </w:rPr>
      </w:pPr>
      <w:r>
        <w:rPr>
          <w:rFonts w:asciiTheme="minorEastAsia" w:hAnsiTheme="minorEastAsia" w:eastAsiaTheme="minorEastAsia"/>
          <w:sz w:val="21"/>
          <w:szCs w:val="21"/>
        </w:rPr>
        <w:t>①</w:t>
      </w:r>
      <w:r>
        <w:rPr>
          <w:rFonts w:hint="eastAsia" w:asciiTheme="minorEastAsia" w:hAnsiTheme="minorEastAsia" w:eastAsiaTheme="minorEastAsia"/>
          <w:sz w:val="21"/>
          <w:szCs w:val="21"/>
        </w:rPr>
        <w:t>项目概况。项目的基本情况、主要技术经济指标、项目推进的基本思路、前期工作进展、本项目拟定的实施机构等。</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②可行性分析。即项目采用特许经营方式必要性与可行性的论证，论证能否降低全寿命周期成本、提高服务效率及质量等。</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③交易结构。特许经营期限、总体交易框架、项目的投融资结构、监督机制、相关配套安排以及特许经营的解除机制等。</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④风险分配基本框架。项目风险的分析、风险分配的原则和基本方案，并给出风险应对措施等。</w:t>
      </w:r>
    </w:p>
    <w:p>
      <w:pPr>
        <w:spacing w:line="360" w:lineRule="auto"/>
        <w:ind w:firstLine="420" w:firstLine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⑤投资回报。交通量及收费收入预测、项目的回报机制、回报水平、回报价格测算及政府保障等。</w:t>
      </w:r>
    </w:p>
    <w:p>
      <w:pPr>
        <w:spacing w:line="360" w:lineRule="auto"/>
        <w:ind w:firstLine="420" w:firstLineChars="200"/>
        <w:rPr>
          <w:rFonts w:hint="eastAsia" w:asciiTheme="minorEastAsia" w:hAnsiTheme="minorEastAsia" w:eastAsiaTheme="minorEastAsia"/>
          <w:sz w:val="21"/>
          <w:szCs w:val="21"/>
        </w:rPr>
      </w:pPr>
      <w:r>
        <w:rPr>
          <w:rFonts w:hint="eastAsia" w:ascii="宋体" w:hAnsi="宋体" w:eastAsia="宋体" w:cs="宋体"/>
          <w:sz w:val="21"/>
          <w:szCs w:val="21"/>
        </w:rPr>
        <w:t>⑥</w:t>
      </w:r>
      <w:r>
        <w:rPr>
          <w:rFonts w:hint="eastAsia" w:asciiTheme="minorEastAsia" w:hAnsiTheme="minorEastAsia" w:eastAsiaTheme="minorEastAsia"/>
          <w:sz w:val="21"/>
          <w:szCs w:val="21"/>
        </w:rPr>
        <w:t>合同体系。合同体系的构成、政府对各类合同的管控思路，并对特许经营协议的构成部分及关键内容进行提示等。</w:t>
      </w:r>
    </w:p>
    <w:p>
      <w:pPr>
        <w:spacing w:line="360" w:lineRule="auto"/>
        <w:ind w:firstLine="420" w:firstLineChars="200"/>
        <w:rPr>
          <w:rFonts w:hint="eastAsia" w:asciiTheme="minorEastAsia" w:hAnsiTheme="minorEastAsia" w:eastAsiaTheme="minorEastAsia"/>
          <w:sz w:val="21"/>
          <w:szCs w:val="21"/>
        </w:rPr>
      </w:pPr>
      <w:r>
        <w:rPr>
          <w:rFonts w:hint="eastAsia" w:ascii="宋体" w:hAnsi="宋体" w:eastAsia="宋体" w:cs="宋体"/>
          <w:sz w:val="21"/>
          <w:szCs w:val="21"/>
        </w:rPr>
        <w:t>⑦</w:t>
      </w:r>
      <w:r>
        <w:rPr>
          <w:rFonts w:hint="eastAsia" w:asciiTheme="minorEastAsia" w:hAnsiTheme="minorEastAsia" w:eastAsiaTheme="minorEastAsia"/>
          <w:sz w:val="21"/>
          <w:szCs w:val="21"/>
        </w:rPr>
        <w:t>采购方式选择。特许经营者应当具备的条件、选择方式、采购的实施步骤及初步时间安排等。</w:t>
      </w:r>
    </w:p>
    <w:p>
      <w:pPr>
        <w:spacing w:line="360" w:lineRule="auto"/>
        <w:ind w:firstLine="420" w:firstLineChars="200"/>
        <w:rPr>
          <w:rFonts w:hint="eastAsia" w:asciiTheme="minorEastAsia" w:hAnsiTheme="minorEastAsia" w:eastAsiaTheme="minorEastAsia"/>
          <w:sz w:val="21"/>
          <w:szCs w:val="21"/>
        </w:rPr>
      </w:pPr>
      <w:r>
        <w:rPr>
          <w:rFonts w:hint="eastAsia" w:ascii="宋体" w:hAnsi="宋体" w:eastAsia="宋体" w:cs="宋体"/>
          <w:sz w:val="21"/>
          <w:szCs w:val="21"/>
        </w:rPr>
        <w:t>⑧</w:t>
      </w:r>
      <w:r>
        <w:rPr>
          <w:rFonts w:hint="eastAsia" w:asciiTheme="minorEastAsia" w:hAnsiTheme="minorEastAsia" w:eastAsiaTheme="minorEastAsia"/>
          <w:sz w:val="21"/>
          <w:szCs w:val="21"/>
        </w:rPr>
        <w:t>资产处置。特许经营期内项目资产的权属、社会资本退出方式、特许经营期满后资产的处置方式等。</w:t>
      </w:r>
    </w:p>
    <w:p>
      <w:pPr>
        <w:spacing w:line="360" w:lineRule="auto"/>
        <w:ind w:firstLine="420" w:firstLineChars="200"/>
        <w:rPr>
          <w:rFonts w:hint="eastAsia" w:asciiTheme="minorEastAsia" w:hAnsiTheme="minorEastAsia" w:eastAsiaTheme="minorEastAsia"/>
          <w:sz w:val="21"/>
          <w:szCs w:val="21"/>
        </w:rPr>
      </w:pPr>
      <w:r>
        <w:rPr>
          <w:rFonts w:hint="eastAsia" w:ascii="宋体" w:hAnsi="宋体" w:eastAsia="宋体" w:cs="宋体"/>
          <w:sz w:val="21"/>
          <w:szCs w:val="21"/>
        </w:rPr>
        <w:t>⑨</w:t>
      </w:r>
      <w:r>
        <w:rPr>
          <w:rFonts w:hint="eastAsia" w:asciiTheme="minorEastAsia" w:hAnsiTheme="minorEastAsia" w:eastAsiaTheme="minorEastAsia"/>
          <w:sz w:val="21"/>
          <w:szCs w:val="21"/>
        </w:rPr>
        <w:t>其他内容。</w:t>
      </w:r>
    </w:p>
    <w:p>
      <w:pPr>
        <w:spacing w:line="360" w:lineRule="auto"/>
        <w:ind w:firstLine="422" w:firstLineChars="200"/>
        <w:rPr>
          <w:rFonts w:hint="eastAsia" w:asciiTheme="minorEastAsia" w:hAnsiTheme="minorEastAsia" w:eastAsiaTheme="minorEastAsia"/>
          <w:b/>
          <w:sz w:val="21"/>
          <w:szCs w:val="21"/>
          <w:lang w:val="en-US" w:eastAsia="zh-CN"/>
        </w:rPr>
      </w:pPr>
      <w:r>
        <w:rPr>
          <w:rFonts w:hint="eastAsia" w:ascii="宋体" w:hAnsi="宋体"/>
          <w:b/>
          <w:bCs/>
          <w:sz w:val="21"/>
          <w:szCs w:val="21"/>
        </w:rPr>
        <w:t>（</w:t>
      </w:r>
      <w:r>
        <w:rPr>
          <w:rFonts w:hint="eastAsia" w:ascii="宋体" w:hAnsi="宋体"/>
          <w:b/>
          <w:bCs/>
          <w:sz w:val="21"/>
          <w:szCs w:val="21"/>
          <w:lang w:val="en-US" w:eastAsia="zh-CN"/>
        </w:rPr>
        <w:t>2</w:t>
      </w:r>
      <w:r>
        <w:rPr>
          <w:rFonts w:hint="eastAsia" w:ascii="宋体" w:hAnsi="宋体"/>
          <w:b/>
          <w:bCs/>
          <w:sz w:val="21"/>
          <w:szCs w:val="21"/>
        </w:rPr>
        <w:t>）</w:t>
      </w:r>
      <w:r>
        <w:rPr>
          <w:rFonts w:hint="eastAsia" w:asciiTheme="minorEastAsia" w:hAnsiTheme="minorEastAsia" w:eastAsiaTheme="minorEastAsia"/>
          <w:b/>
          <w:sz w:val="21"/>
          <w:szCs w:val="21"/>
          <w:lang w:val="en-US" w:eastAsia="zh-CN"/>
        </w:rPr>
        <w:t>编制《特许经营协议》。</w:t>
      </w:r>
    </w:p>
    <w:p>
      <w:pPr>
        <w:adjustRightInd w:val="0"/>
        <w:snapToGrid w:val="0"/>
        <w:spacing w:line="360" w:lineRule="auto"/>
        <w:ind w:firstLine="422" w:firstLineChars="200"/>
        <w:rPr>
          <w:rFonts w:hint="eastAsia" w:ascii="宋体" w:hAnsi="宋体"/>
          <w:szCs w:val="21"/>
          <w:lang w:val="en-US" w:eastAsia="zh-CN"/>
        </w:rPr>
      </w:pPr>
      <w:r>
        <w:rPr>
          <w:rFonts w:hint="eastAsia" w:asciiTheme="minorEastAsia" w:hAnsiTheme="minorEastAsia" w:eastAsiaTheme="minorEastAsia"/>
          <w:b/>
          <w:sz w:val="21"/>
          <w:szCs w:val="21"/>
        </w:rPr>
        <w:t>（</w:t>
      </w:r>
      <w:r>
        <w:rPr>
          <w:rFonts w:hint="eastAsia" w:asciiTheme="minorEastAsia" w:hAnsiTheme="minorEastAsia" w:eastAsiaTheme="minorEastAsia"/>
          <w:b/>
          <w:sz w:val="21"/>
          <w:szCs w:val="21"/>
          <w:lang w:val="en-US" w:eastAsia="zh-CN"/>
        </w:rPr>
        <w:t>3</w:t>
      </w:r>
      <w:r>
        <w:rPr>
          <w:rFonts w:hint="eastAsia" w:asciiTheme="minorEastAsia" w:hAnsiTheme="minorEastAsia" w:eastAsiaTheme="minorEastAsia"/>
          <w:b/>
          <w:sz w:val="21"/>
          <w:szCs w:val="21"/>
        </w:rPr>
        <w:t>）</w:t>
      </w:r>
      <w:r>
        <w:rPr>
          <w:rFonts w:hint="eastAsia" w:asciiTheme="minorEastAsia" w:hAnsiTheme="minorEastAsia" w:eastAsiaTheme="minorEastAsia"/>
          <w:b/>
          <w:sz w:val="21"/>
          <w:szCs w:val="21"/>
          <w:lang w:val="en-US" w:eastAsia="zh-CN"/>
        </w:rPr>
        <w:t>配合我司开展社会资本征集工作。</w:t>
      </w:r>
    </w:p>
    <w:p>
      <w:pPr>
        <w:adjustRightInd w:val="0"/>
        <w:snapToGrid w:val="0"/>
        <w:spacing w:line="360" w:lineRule="auto"/>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w:t>
      </w:r>
      <w:r>
        <w:rPr>
          <w:rFonts w:hint="eastAsia" w:asciiTheme="minorEastAsia" w:hAnsiTheme="minorEastAsia" w:eastAsiaTheme="minorEastAsia"/>
          <w:b/>
          <w:sz w:val="21"/>
          <w:szCs w:val="21"/>
          <w:lang w:val="en-US" w:eastAsia="zh-CN"/>
        </w:rPr>
        <w:t>4</w:t>
      </w:r>
      <w:r>
        <w:rPr>
          <w:rFonts w:hint="eastAsia" w:asciiTheme="minorEastAsia" w:hAnsiTheme="minorEastAsia" w:eastAsiaTheme="minorEastAsia"/>
          <w:b/>
          <w:sz w:val="21"/>
          <w:szCs w:val="21"/>
        </w:rPr>
        <w:t>）</w:t>
      </w:r>
      <w:r>
        <w:rPr>
          <w:rFonts w:hint="eastAsia" w:asciiTheme="minorEastAsia" w:hAnsiTheme="minorEastAsia" w:eastAsiaTheme="minorEastAsia"/>
          <w:b/>
          <w:sz w:val="21"/>
          <w:szCs w:val="21"/>
          <w:lang w:val="en-US" w:eastAsia="zh-CN"/>
        </w:rPr>
        <w:t>配合我司组织《特许经营实施方案》、《特许经营协议》的征求相关部门意见、专家论证和上报审查工作。</w:t>
      </w:r>
    </w:p>
    <w:p>
      <w:pPr>
        <w:snapToGrid w:val="0"/>
        <w:spacing w:line="360" w:lineRule="auto"/>
        <w:ind w:firstLine="422" w:firstLineChars="200"/>
        <w:rPr>
          <w:rFonts w:ascii="宋体" w:hAnsi="宋体"/>
          <w:b/>
          <w:sz w:val="21"/>
          <w:szCs w:val="21"/>
        </w:rPr>
      </w:pPr>
      <w:r>
        <w:rPr>
          <w:rFonts w:hint="eastAsia" w:ascii="宋体" w:hAnsi="宋体"/>
          <w:b/>
          <w:sz w:val="21"/>
          <w:szCs w:val="21"/>
        </w:rPr>
        <w:t>（三)、投标</w:t>
      </w:r>
      <w:r>
        <w:rPr>
          <w:rFonts w:ascii="宋体" w:hAnsi="宋体"/>
          <w:b/>
          <w:sz w:val="21"/>
          <w:szCs w:val="21"/>
        </w:rPr>
        <w:t>费用</w:t>
      </w:r>
    </w:p>
    <w:p>
      <w:pPr>
        <w:snapToGrid w:val="0"/>
        <w:spacing w:line="360" w:lineRule="auto"/>
        <w:ind w:firstLine="420" w:firstLineChars="200"/>
        <w:rPr>
          <w:rFonts w:ascii="宋体" w:hAnsi="宋体"/>
          <w:sz w:val="21"/>
          <w:szCs w:val="21"/>
        </w:rPr>
      </w:pPr>
      <w:r>
        <w:rPr>
          <w:rFonts w:hint="eastAsia" w:ascii="宋体" w:hAnsi="宋体"/>
          <w:sz w:val="21"/>
          <w:szCs w:val="21"/>
        </w:rPr>
        <w:t>投标人在投标过程中的一切费用</w:t>
      </w:r>
      <w:r>
        <w:rPr>
          <w:rFonts w:ascii="宋体" w:hAnsi="宋体"/>
          <w:sz w:val="21"/>
          <w:szCs w:val="21"/>
        </w:rPr>
        <w:t>，无论中标与否，均由</w:t>
      </w:r>
      <w:r>
        <w:rPr>
          <w:rFonts w:hint="eastAsia" w:ascii="宋体" w:hAnsi="宋体"/>
          <w:sz w:val="21"/>
          <w:szCs w:val="21"/>
        </w:rPr>
        <w:t>投标人</w:t>
      </w:r>
      <w:r>
        <w:rPr>
          <w:rFonts w:ascii="宋体" w:hAnsi="宋体"/>
          <w:sz w:val="21"/>
          <w:szCs w:val="21"/>
        </w:rPr>
        <w:t>自行承担。</w:t>
      </w:r>
    </w:p>
    <w:p>
      <w:pPr>
        <w:snapToGrid w:val="0"/>
        <w:spacing w:line="360" w:lineRule="auto"/>
        <w:ind w:firstLine="422" w:firstLineChars="200"/>
        <w:rPr>
          <w:rFonts w:ascii="宋体" w:hAnsi="宋体"/>
          <w:b/>
          <w:sz w:val="21"/>
          <w:szCs w:val="21"/>
        </w:rPr>
      </w:pPr>
      <w:r>
        <w:rPr>
          <w:rFonts w:hint="eastAsia" w:ascii="宋体" w:hAnsi="宋体"/>
          <w:b/>
          <w:sz w:val="21"/>
          <w:szCs w:val="21"/>
        </w:rPr>
        <w:t>(四）、</w:t>
      </w:r>
      <w:r>
        <w:rPr>
          <w:rFonts w:ascii="宋体" w:hAnsi="宋体"/>
          <w:b/>
          <w:sz w:val="21"/>
          <w:szCs w:val="21"/>
        </w:rPr>
        <w:t>现场考察</w:t>
      </w:r>
    </w:p>
    <w:p>
      <w:pPr>
        <w:snapToGrid w:val="0"/>
        <w:spacing w:line="360" w:lineRule="auto"/>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招标人不组织</w:t>
      </w:r>
      <w:r>
        <w:rPr>
          <w:rFonts w:hint="eastAsia" w:ascii="宋体" w:hAnsi="宋体"/>
          <w:sz w:val="21"/>
          <w:szCs w:val="21"/>
        </w:rPr>
        <w:t>投标人</w:t>
      </w:r>
      <w:r>
        <w:rPr>
          <w:rFonts w:ascii="宋体" w:hAnsi="宋体"/>
          <w:sz w:val="21"/>
          <w:szCs w:val="21"/>
        </w:rPr>
        <w:t>对现场及其周围环境进行考察。如</w:t>
      </w:r>
      <w:r>
        <w:rPr>
          <w:rFonts w:hint="eastAsia" w:ascii="宋体" w:hAnsi="宋体"/>
          <w:sz w:val="21"/>
          <w:szCs w:val="21"/>
        </w:rPr>
        <w:t>投标人</w:t>
      </w:r>
      <w:r>
        <w:rPr>
          <w:rFonts w:ascii="宋体" w:hAnsi="宋体"/>
          <w:sz w:val="21"/>
          <w:szCs w:val="21"/>
        </w:rPr>
        <w:t>需要，可自行组织现场考察，以便了解现场情况，获得有关编制</w:t>
      </w:r>
      <w:r>
        <w:rPr>
          <w:rFonts w:hint="eastAsia" w:ascii="宋体" w:hAnsi="宋体"/>
          <w:sz w:val="21"/>
          <w:szCs w:val="21"/>
        </w:rPr>
        <w:t>投标文件</w:t>
      </w:r>
      <w:r>
        <w:rPr>
          <w:rFonts w:ascii="宋体" w:hAnsi="宋体"/>
          <w:sz w:val="21"/>
          <w:szCs w:val="21"/>
        </w:rPr>
        <w:t>和签署合同所必需的一切资料。招标人对</w:t>
      </w:r>
      <w:r>
        <w:rPr>
          <w:rFonts w:hint="eastAsia" w:ascii="宋体" w:hAnsi="宋体"/>
          <w:sz w:val="21"/>
          <w:szCs w:val="21"/>
        </w:rPr>
        <w:t>投标人</w:t>
      </w:r>
      <w:r>
        <w:rPr>
          <w:rFonts w:ascii="宋体" w:hAnsi="宋体"/>
          <w:sz w:val="21"/>
          <w:szCs w:val="21"/>
        </w:rPr>
        <w:t>自行组织的现场考察给予必要的协助。现场考察的费用由</w:t>
      </w:r>
      <w:r>
        <w:rPr>
          <w:rFonts w:hint="eastAsia" w:ascii="宋体" w:hAnsi="宋体"/>
          <w:sz w:val="21"/>
          <w:szCs w:val="21"/>
        </w:rPr>
        <w:t>投标人</w:t>
      </w:r>
      <w:r>
        <w:rPr>
          <w:rFonts w:ascii="宋体" w:hAnsi="宋体"/>
          <w:sz w:val="21"/>
          <w:szCs w:val="21"/>
        </w:rPr>
        <w:t>自行负担。</w:t>
      </w:r>
    </w:p>
    <w:p>
      <w:pPr>
        <w:snapToGrid w:val="0"/>
        <w:spacing w:line="360" w:lineRule="auto"/>
        <w:ind w:firstLine="420" w:firstLineChars="200"/>
        <w:rPr>
          <w:rFonts w:ascii="宋体" w:hAnsi="宋体"/>
          <w:sz w:val="21"/>
          <w:szCs w:val="21"/>
        </w:rPr>
      </w:pPr>
      <w:r>
        <w:rPr>
          <w:rFonts w:ascii="宋体" w:hAnsi="宋体"/>
          <w:sz w:val="21"/>
          <w:szCs w:val="21"/>
        </w:rPr>
        <w:t xml:space="preserve"> 2</w:t>
      </w:r>
      <w:r>
        <w:rPr>
          <w:rFonts w:hint="eastAsia" w:ascii="宋体" w:hAnsi="宋体"/>
          <w:sz w:val="21"/>
          <w:szCs w:val="21"/>
        </w:rPr>
        <w:t>、投标人</w:t>
      </w:r>
      <w:r>
        <w:rPr>
          <w:rFonts w:ascii="宋体" w:hAnsi="宋体"/>
          <w:sz w:val="21"/>
          <w:szCs w:val="21"/>
        </w:rPr>
        <w:t>将被视为充分熟悉本</w:t>
      </w:r>
      <w:r>
        <w:rPr>
          <w:rFonts w:hint="eastAsia" w:ascii="宋体" w:hAnsi="宋体"/>
          <w:sz w:val="21"/>
          <w:szCs w:val="21"/>
        </w:rPr>
        <w:t>招标</w:t>
      </w:r>
      <w:r>
        <w:rPr>
          <w:rFonts w:ascii="宋体" w:hAnsi="宋体"/>
          <w:sz w:val="21"/>
          <w:szCs w:val="21"/>
        </w:rPr>
        <w:t>项目所在地的与履行合同有关的各种情况，包括自然环境、气 候条件、劳动力及公用设施等，本</w:t>
      </w:r>
      <w:r>
        <w:rPr>
          <w:rFonts w:hint="eastAsia" w:ascii="宋体" w:hAnsi="宋体"/>
          <w:sz w:val="21"/>
          <w:szCs w:val="21"/>
        </w:rPr>
        <w:t>招标公告</w:t>
      </w:r>
      <w:r>
        <w:rPr>
          <w:rFonts w:ascii="宋体" w:hAnsi="宋体"/>
          <w:sz w:val="21"/>
          <w:szCs w:val="21"/>
        </w:rPr>
        <w:t>不再对上述情况进行描述。</w:t>
      </w:r>
      <w:r>
        <w:rPr>
          <w:rFonts w:hint="eastAsia" w:ascii="宋体" w:hAnsi="宋体"/>
          <w:sz w:val="21"/>
          <w:szCs w:val="21"/>
        </w:rPr>
        <w:t>投标人</w:t>
      </w:r>
      <w:r>
        <w:rPr>
          <w:rFonts w:ascii="宋体" w:hAnsi="宋体"/>
          <w:sz w:val="21"/>
          <w:szCs w:val="21"/>
        </w:rPr>
        <w:t>据此情况作出的判断和决策，由</w:t>
      </w:r>
      <w:r>
        <w:rPr>
          <w:rFonts w:hint="eastAsia" w:ascii="宋体" w:hAnsi="宋体"/>
          <w:sz w:val="21"/>
          <w:szCs w:val="21"/>
        </w:rPr>
        <w:t>投标人</w:t>
      </w:r>
      <w:r>
        <w:rPr>
          <w:rFonts w:ascii="宋体" w:hAnsi="宋体"/>
          <w:sz w:val="21"/>
          <w:szCs w:val="21"/>
        </w:rPr>
        <w:t>自行负责。</w:t>
      </w:r>
    </w:p>
    <w:p>
      <w:pPr>
        <w:snapToGrid w:val="0"/>
        <w:spacing w:line="360" w:lineRule="auto"/>
        <w:ind w:firstLine="420" w:firstLineChars="200"/>
        <w:rPr>
          <w:rFonts w:ascii="宋体" w:hAnsi="宋体"/>
          <w:sz w:val="21"/>
          <w:szCs w:val="21"/>
        </w:rPr>
      </w:pPr>
      <w:r>
        <w:rPr>
          <w:rFonts w:ascii="宋体" w:hAnsi="宋体"/>
          <w:sz w:val="21"/>
          <w:szCs w:val="21"/>
        </w:rPr>
        <w:t xml:space="preserve"> 3</w:t>
      </w:r>
      <w:r>
        <w:rPr>
          <w:rFonts w:hint="eastAsia" w:ascii="宋体" w:hAnsi="宋体"/>
          <w:sz w:val="21"/>
          <w:szCs w:val="21"/>
        </w:rPr>
        <w:t>、投标人</w:t>
      </w:r>
      <w:r>
        <w:rPr>
          <w:rFonts w:ascii="宋体" w:hAnsi="宋体"/>
          <w:sz w:val="21"/>
          <w:szCs w:val="21"/>
        </w:rPr>
        <w:t xml:space="preserve">自行组织现场考察过程中，应对其自身安全负责，如果发生人身伤亡、财物或其他损失， 不论何种原因所造成，招标人概不负责。 </w:t>
      </w:r>
    </w:p>
    <w:p>
      <w:pPr>
        <w:snapToGrid w:val="0"/>
        <w:spacing w:line="360" w:lineRule="auto"/>
        <w:ind w:firstLine="420" w:firstLineChars="200"/>
        <w:rPr>
          <w:rFonts w:ascii="宋体" w:hAnsi="宋体"/>
          <w:sz w:val="21"/>
          <w:szCs w:val="21"/>
        </w:rPr>
      </w:pPr>
      <w:r>
        <w:rPr>
          <w:rFonts w:ascii="宋体" w:hAnsi="宋体"/>
          <w:sz w:val="21"/>
          <w:szCs w:val="21"/>
        </w:rPr>
        <w:t>4</w:t>
      </w:r>
      <w:r>
        <w:rPr>
          <w:rFonts w:hint="eastAsia" w:ascii="宋体" w:hAnsi="宋体"/>
          <w:sz w:val="21"/>
          <w:szCs w:val="21"/>
        </w:rPr>
        <w:t>、</w:t>
      </w:r>
      <w:r>
        <w:rPr>
          <w:rFonts w:ascii="宋体" w:hAnsi="宋体"/>
          <w:sz w:val="21"/>
          <w:szCs w:val="21"/>
        </w:rPr>
        <w:t xml:space="preserve"> </w:t>
      </w:r>
      <w:r>
        <w:rPr>
          <w:rFonts w:hint="eastAsia" w:ascii="宋体" w:hAnsi="宋体"/>
          <w:sz w:val="21"/>
          <w:szCs w:val="21"/>
        </w:rPr>
        <w:t>投标人</w:t>
      </w:r>
      <w:r>
        <w:rPr>
          <w:rFonts w:ascii="宋体" w:hAnsi="宋体"/>
          <w:sz w:val="21"/>
          <w:szCs w:val="21"/>
        </w:rPr>
        <w:t>自行组织现场考察期间的交通、食宿由</w:t>
      </w:r>
      <w:r>
        <w:rPr>
          <w:rFonts w:hint="eastAsia" w:ascii="宋体" w:hAnsi="宋体"/>
          <w:sz w:val="21"/>
          <w:szCs w:val="21"/>
        </w:rPr>
        <w:t>投标人</w:t>
      </w:r>
      <w:r>
        <w:rPr>
          <w:rFonts w:ascii="宋体" w:hAnsi="宋体"/>
          <w:sz w:val="21"/>
          <w:szCs w:val="21"/>
        </w:rPr>
        <w:t>自行安排，费用自理。</w:t>
      </w:r>
    </w:p>
    <w:p>
      <w:pPr>
        <w:snapToGrid w:val="0"/>
        <w:spacing w:line="360" w:lineRule="auto"/>
        <w:ind w:firstLine="422" w:firstLineChars="200"/>
        <w:rPr>
          <w:rFonts w:ascii="宋体" w:hAnsi="宋体"/>
          <w:b/>
          <w:sz w:val="21"/>
          <w:szCs w:val="21"/>
        </w:rPr>
      </w:pPr>
      <w:r>
        <w:rPr>
          <w:rFonts w:hint="eastAsia" w:ascii="宋体" w:hAnsi="宋体"/>
          <w:b/>
          <w:sz w:val="21"/>
          <w:szCs w:val="21"/>
        </w:rPr>
        <w:t>（五）、标前会议</w:t>
      </w:r>
    </w:p>
    <w:p>
      <w:pPr>
        <w:snapToGrid w:val="0"/>
        <w:spacing w:line="360" w:lineRule="auto"/>
        <w:ind w:firstLine="420" w:firstLineChars="200"/>
        <w:rPr>
          <w:rFonts w:ascii="宋体" w:hAnsi="宋体"/>
          <w:bCs/>
          <w:sz w:val="21"/>
          <w:szCs w:val="21"/>
        </w:rPr>
      </w:pPr>
      <w:r>
        <w:rPr>
          <w:rFonts w:ascii="宋体" w:hAnsi="宋体"/>
          <w:sz w:val="21"/>
          <w:szCs w:val="21"/>
        </w:rPr>
        <w:t>招标人不组织标前会议。</w:t>
      </w:r>
    </w:p>
    <w:p>
      <w:pPr>
        <w:spacing w:line="360" w:lineRule="auto"/>
        <w:jc w:val="both"/>
        <w:outlineLvl w:val="1"/>
        <w:rPr>
          <w:b/>
          <w:bCs/>
          <w:sz w:val="21"/>
          <w:szCs w:val="21"/>
        </w:rPr>
      </w:pPr>
      <w:r>
        <w:rPr>
          <w:rFonts w:hint="eastAsia"/>
          <w:b/>
          <w:bCs/>
          <w:sz w:val="21"/>
          <w:szCs w:val="21"/>
        </w:rPr>
        <w:t>六</w:t>
      </w:r>
      <w:r>
        <w:rPr>
          <w:b/>
          <w:bCs/>
          <w:sz w:val="21"/>
          <w:szCs w:val="21"/>
        </w:rPr>
        <w:t>、响应文件的组成及要求：</w:t>
      </w:r>
    </w:p>
    <w:p>
      <w:pPr>
        <w:spacing w:line="360" w:lineRule="auto"/>
        <w:ind w:firstLine="422" w:firstLineChars="200"/>
        <w:jc w:val="both"/>
        <w:outlineLvl w:val="2"/>
        <w:rPr>
          <w:b/>
          <w:sz w:val="21"/>
          <w:szCs w:val="21"/>
        </w:rPr>
      </w:pPr>
      <w:r>
        <w:rPr>
          <w:b/>
          <w:sz w:val="21"/>
          <w:szCs w:val="21"/>
        </w:rPr>
        <w:t>（一）响应文件的组成：</w:t>
      </w:r>
    </w:p>
    <w:p>
      <w:pPr>
        <w:spacing w:line="360" w:lineRule="auto"/>
        <w:ind w:firstLine="420" w:firstLineChars="200"/>
        <w:jc w:val="both"/>
        <w:rPr>
          <w:rFonts w:ascii="宋体" w:hAnsi="宋体" w:cs="宋体"/>
          <w:sz w:val="21"/>
          <w:szCs w:val="21"/>
          <w:lang w:val="zh-CN"/>
        </w:rPr>
      </w:pPr>
      <w:r>
        <w:rPr>
          <w:rFonts w:hint="eastAsia" w:ascii="宋体" w:hAnsi="宋体" w:cs="宋体"/>
          <w:sz w:val="21"/>
          <w:szCs w:val="21"/>
          <w:lang w:val="zh-CN"/>
        </w:rPr>
        <w:t>1、</w:t>
      </w:r>
      <w:r>
        <w:rPr>
          <w:rFonts w:ascii="宋体" w:hAnsi="宋体" w:cs="宋体"/>
          <w:sz w:val="21"/>
          <w:szCs w:val="21"/>
          <w:lang w:val="zh-CN"/>
        </w:rPr>
        <w:t>响应函</w:t>
      </w:r>
      <w:r>
        <w:rPr>
          <w:rFonts w:hint="eastAsia" w:ascii="宋体" w:hAnsi="宋体" w:cs="宋体"/>
          <w:sz w:val="21"/>
          <w:szCs w:val="21"/>
          <w:lang w:val="zh-CN"/>
        </w:rPr>
        <w:t>；</w:t>
      </w:r>
    </w:p>
    <w:p>
      <w:pPr>
        <w:spacing w:line="360" w:lineRule="auto"/>
        <w:ind w:firstLine="420" w:firstLineChars="200"/>
        <w:jc w:val="both"/>
        <w:rPr>
          <w:rFonts w:ascii="宋体" w:hAnsi="宋体" w:cs="宋体"/>
          <w:sz w:val="21"/>
          <w:szCs w:val="21"/>
          <w:lang w:val="zh-CN"/>
        </w:rPr>
      </w:pPr>
      <w:r>
        <w:rPr>
          <w:rFonts w:hint="eastAsia" w:ascii="宋体" w:hAnsi="宋体" w:cs="宋体"/>
          <w:sz w:val="21"/>
          <w:szCs w:val="21"/>
          <w:lang w:val="zh-CN"/>
        </w:rPr>
        <w:t>2、供应商法定</w:t>
      </w:r>
      <w:r>
        <w:rPr>
          <w:rFonts w:ascii="宋体" w:hAnsi="宋体" w:cs="宋体"/>
          <w:sz w:val="21"/>
          <w:szCs w:val="21"/>
          <w:lang w:val="zh-CN"/>
        </w:rPr>
        <w:t>代表人</w:t>
      </w:r>
      <w:r>
        <w:rPr>
          <w:rFonts w:hint="eastAsia" w:ascii="宋体" w:hAnsi="宋体" w:cs="宋体"/>
          <w:sz w:val="21"/>
          <w:szCs w:val="21"/>
          <w:lang w:val="zh-CN"/>
        </w:rPr>
        <w:t>授权</w:t>
      </w:r>
      <w:r>
        <w:rPr>
          <w:rFonts w:ascii="宋体" w:hAnsi="宋体" w:cs="宋体"/>
          <w:sz w:val="21"/>
          <w:szCs w:val="21"/>
          <w:lang w:val="zh-CN"/>
        </w:rPr>
        <w:t>委托书</w:t>
      </w:r>
      <w:r>
        <w:rPr>
          <w:rFonts w:hint="eastAsia" w:ascii="宋体" w:hAnsi="宋体" w:cs="宋体"/>
          <w:sz w:val="21"/>
          <w:szCs w:val="21"/>
          <w:lang w:val="zh-CN"/>
        </w:rPr>
        <w:t>（如有</w:t>
      </w:r>
      <w:r>
        <w:rPr>
          <w:rFonts w:ascii="宋体" w:hAnsi="宋体" w:cs="宋体"/>
          <w:sz w:val="21"/>
          <w:szCs w:val="21"/>
          <w:lang w:val="zh-CN"/>
        </w:rPr>
        <w:t>授权</w:t>
      </w:r>
      <w:r>
        <w:rPr>
          <w:rFonts w:hint="eastAsia" w:ascii="宋体" w:hAnsi="宋体" w:cs="宋体"/>
          <w:sz w:val="21"/>
          <w:szCs w:val="21"/>
          <w:lang w:val="zh-CN"/>
        </w:rPr>
        <w:t>）；</w:t>
      </w:r>
    </w:p>
    <w:p>
      <w:pPr>
        <w:spacing w:line="360" w:lineRule="auto"/>
        <w:ind w:firstLine="420" w:firstLineChars="200"/>
        <w:jc w:val="both"/>
        <w:rPr>
          <w:rFonts w:ascii="宋体" w:hAnsi="宋体" w:cs="宋体"/>
          <w:sz w:val="21"/>
          <w:szCs w:val="21"/>
          <w:lang w:val="zh-CN"/>
        </w:rPr>
      </w:pPr>
      <w:r>
        <w:rPr>
          <w:rFonts w:hint="eastAsia" w:ascii="宋体" w:hAnsi="宋体" w:cs="宋体"/>
          <w:sz w:val="21"/>
          <w:szCs w:val="21"/>
          <w:lang w:val="zh-CN"/>
        </w:rPr>
        <w:t>3、谈判</w:t>
      </w:r>
      <w:r>
        <w:rPr>
          <w:rFonts w:ascii="宋体" w:hAnsi="宋体" w:cs="宋体"/>
          <w:sz w:val="21"/>
          <w:szCs w:val="21"/>
          <w:lang w:val="zh-CN"/>
        </w:rPr>
        <w:t>报价表；</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4</w:t>
      </w:r>
      <w:r>
        <w:rPr>
          <w:rFonts w:hint="eastAsia" w:ascii="宋体" w:hAnsi="宋体" w:cs="宋体"/>
          <w:sz w:val="21"/>
          <w:szCs w:val="21"/>
          <w:lang w:val="zh-CN"/>
        </w:rPr>
        <w:t>、谈判</w:t>
      </w:r>
      <w:r>
        <w:rPr>
          <w:rFonts w:ascii="宋体" w:hAnsi="宋体" w:cs="宋体"/>
          <w:sz w:val="21"/>
          <w:szCs w:val="21"/>
          <w:lang w:val="zh-CN"/>
        </w:rPr>
        <w:t>报价明细表；</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5</w:t>
      </w:r>
      <w:r>
        <w:rPr>
          <w:rFonts w:hint="eastAsia" w:ascii="宋体" w:hAnsi="宋体" w:cs="宋体"/>
          <w:sz w:val="21"/>
          <w:szCs w:val="21"/>
          <w:lang w:val="zh-CN"/>
        </w:rPr>
        <w:t>、供应商《营业执照》副本及《税务登记证》副本复印件（或三证合一之后的《营业执照》副本复印件）；</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6</w:t>
      </w:r>
      <w:r>
        <w:rPr>
          <w:rFonts w:hint="eastAsia" w:ascii="宋体" w:hAnsi="宋体" w:cs="宋体"/>
          <w:sz w:val="21"/>
          <w:szCs w:val="21"/>
          <w:lang w:val="zh-CN"/>
        </w:rPr>
        <w:t>、供应商法定代表人身份证复印件；</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7</w:t>
      </w:r>
      <w:r>
        <w:rPr>
          <w:rFonts w:hint="eastAsia" w:ascii="宋体" w:hAnsi="宋体" w:cs="宋体"/>
          <w:sz w:val="21"/>
          <w:szCs w:val="21"/>
          <w:lang w:val="zh-CN"/>
        </w:rPr>
        <w:t>、供应商代理人身份证复印件；</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8</w:t>
      </w:r>
      <w:r>
        <w:rPr>
          <w:rFonts w:hint="eastAsia" w:ascii="宋体" w:hAnsi="宋体" w:cs="宋体"/>
          <w:sz w:val="21"/>
          <w:szCs w:val="21"/>
          <w:lang w:val="zh-CN"/>
        </w:rPr>
        <w:t>、关于资格文件的声明函；</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9</w:t>
      </w:r>
      <w:r>
        <w:rPr>
          <w:rFonts w:hint="eastAsia" w:ascii="宋体" w:hAnsi="宋体" w:cs="宋体"/>
          <w:sz w:val="21"/>
          <w:szCs w:val="21"/>
          <w:lang w:val="zh-CN"/>
        </w:rPr>
        <w:t>、供应商情况表；</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10</w:t>
      </w:r>
      <w:r>
        <w:rPr>
          <w:rFonts w:hint="eastAsia" w:ascii="宋体" w:hAnsi="宋体" w:cs="宋体"/>
          <w:sz w:val="21"/>
          <w:szCs w:val="21"/>
          <w:lang w:val="zh-CN"/>
        </w:rPr>
        <w:t>、财务状况报告，依法缴纳税收和社会保障资金的相关材料；</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11</w:t>
      </w:r>
      <w:r>
        <w:rPr>
          <w:rFonts w:hint="eastAsia" w:ascii="宋体" w:hAnsi="宋体" w:cs="宋体"/>
          <w:sz w:val="21"/>
          <w:szCs w:val="21"/>
          <w:lang w:val="zh-CN"/>
        </w:rPr>
        <w:t>、具备履行合同所必需的设备和专业技术能力的证明材料；</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12</w:t>
      </w:r>
      <w:r>
        <w:rPr>
          <w:rFonts w:hint="eastAsia" w:ascii="宋体" w:hAnsi="宋体" w:cs="宋体"/>
          <w:sz w:val="21"/>
          <w:szCs w:val="21"/>
          <w:lang w:val="zh-CN"/>
        </w:rPr>
        <w:t>、供应商证明其满足合格供应商特殊条件的证书、证明、文件等资料：</w:t>
      </w:r>
    </w:p>
    <w:p>
      <w:pPr>
        <w:spacing w:line="360" w:lineRule="auto"/>
        <w:ind w:firstLine="420" w:firstLineChars="200"/>
        <w:jc w:val="both"/>
        <w:rPr>
          <w:rFonts w:ascii="宋体" w:hAnsi="宋体" w:cs="宋体"/>
          <w:sz w:val="21"/>
          <w:szCs w:val="21"/>
          <w:lang w:val="zh-CN"/>
        </w:rPr>
      </w:pPr>
      <w:r>
        <w:rPr>
          <w:rFonts w:hint="eastAsia" w:ascii="宋体" w:hAnsi="宋体" w:cs="宋体"/>
          <w:sz w:val="21"/>
          <w:szCs w:val="21"/>
          <w:lang w:val="zh-CN"/>
        </w:rPr>
        <w:t>（1）供应商与其他单位存在控股、管理关系情况表；</w:t>
      </w:r>
    </w:p>
    <w:p>
      <w:pPr>
        <w:spacing w:line="360" w:lineRule="auto"/>
        <w:ind w:firstLine="420" w:firstLineChars="200"/>
        <w:jc w:val="both"/>
        <w:rPr>
          <w:rFonts w:ascii="宋体" w:hAnsi="宋体" w:cs="宋体"/>
          <w:sz w:val="21"/>
          <w:szCs w:val="21"/>
          <w:lang w:val="zh-CN"/>
        </w:rPr>
      </w:pPr>
      <w:r>
        <w:rPr>
          <w:rFonts w:ascii="宋体" w:hAnsi="宋体" w:cs="宋体"/>
          <w:sz w:val="21"/>
          <w:szCs w:val="21"/>
          <w:lang w:val="zh-CN"/>
        </w:rPr>
        <w:t>1</w:t>
      </w:r>
      <w:r>
        <w:rPr>
          <w:rFonts w:hint="eastAsia" w:ascii="宋体" w:hAnsi="宋体" w:cs="宋体"/>
          <w:sz w:val="21"/>
          <w:szCs w:val="21"/>
          <w:lang w:val="zh-CN"/>
        </w:rPr>
        <w:t>3、《服务保障承诺书》、《人员配备一览表》；</w:t>
      </w:r>
    </w:p>
    <w:p>
      <w:pPr>
        <w:spacing w:line="360" w:lineRule="auto"/>
        <w:ind w:firstLine="420" w:firstLineChars="200"/>
        <w:jc w:val="both"/>
        <w:rPr>
          <w:rFonts w:ascii="宋体" w:hAnsi="宋体" w:cs="宋体"/>
          <w:sz w:val="21"/>
          <w:szCs w:val="21"/>
          <w:lang w:val="zh-CN"/>
        </w:rPr>
      </w:pPr>
      <w:r>
        <w:rPr>
          <w:rFonts w:hint="eastAsia" w:ascii="宋体" w:hAnsi="宋体" w:cs="宋体"/>
          <w:sz w:val="21"/>
          <w:szCs w:val="21"/>
          <w:lang w:val="zh-CN"/>
        </w:rPr>
        <w:t>14、《类似项目业绩一览表》</w:t>
      </w:r>
    </w:p>
    <w:p>
      <w:pPr>
        <w:spacing w:line="360" w:lineRule="auto"/>
        <w:ind w:firstLine="420" w:firstLineChars="200"/>
        <w:jc w:val="both"/>
        <w:rPr>
          <w:rFonts w:ascii="宋体" w:hAnsi="宋体" w:cs="宋体"/>
          <w:sz w:val="21"/>
          <w:szCs w:val="21"/>
          <w:lang w:val="zh-CN"/>
        </w:rPr>
      </w:pPr>
      <w:r>
        <w:rPr>
          <w:rFonts w:hint="eastAsia" w:ascii="宋体" w:hAnsi="宋体" w:cs="宋体"/>
          <w:sz w:val="21"/>
          <w:szCs w:val="21"/>
          <w:lang w:val="zh-CN"/>
        </w:rPr>
        <w:t>15、其他可以证明供应商资信、资质和货物、服务质量的证书、文件、推荐信、表彰、获奖等资料。</w:t>
      </w:r>
    </w:p>
    <w:p>
      <w:pPr>
        <w:spacing w:line="360" w:lineRule="auto"/>
        <w:ind w:firstLine="422" w:firstLineChars="200"/>
        <w:jc w:val="both"/>
        <w:rPr>
          <w:rFonts w:ascii="宋体" w:hAnsi="宋体" w:cs="宋体"/>
          <w:b/>
          <w:sz w:val="21"/>
          <w:szCs w:val="21"/>
          <w:lang w:val="zh-CN"/>
        </w:rPr>
      </w:pPr>
      <w:r>
        <w:rPr>
          <w:rFonts w:hint="eastAsia" w:ascii="宋体" w:hAnsi="宋体" w:cs="宋体"/>
          <w:b/>
          <w:sz w:val="21"/>
          <w:szCs w:val="21"/>
          <w:lang w:val="zh-CN"/>
        </w:rPr>
        <w:t>注：（1）上述各项资料均须加盖供应商公章；</w:t>
      </w:r>
    </w:p>
    <w:p>
      <w:pPr>
        <w:spacing w:line="360" w:lineRule="auto"/>
        <w:ind w:firstLine="843" w:firstLineChars="400"/>
        <w:jc w:val="both"/>
        <w:rPr>
          <w:rFonts w:ascii="宋体" w:hAnsi="宋体"/>
          <w:b/>
          <w:sz w:val="21"/>
          <w:szCs w:val="21"/>
        </w:rPr>
      </w:pPr>
      <w:r>
        <w:rPr>
          <w:rFonts w:hint="eastAsia" w:ascii="宋体" w:hAnsi="宋体"/>
          <w:b/>
          <w:sz w:val="21"/>
          <w:szCs w:val="21"/>
        </w:rPr>
        <w:t>（2）响应文件封面必须注明：采购编号、采购人名称、项目名称、标段号（若本项目划分标段采购）、供应商名称、</w:t>
      </w:r>
      <w:r>
        <w:rPr>
          <w:rFonts w:ascii="宋体" w:hAnsi="宋体"/>
          <w:b/>
          <w:sz w:val="21"/>
          <w:szCs w:val="21"/>
        </w:rPr>
        <w:t>联系人、联系方式、</w:t>
      </w:r>
      <w:r>
        <w:rPr>
          <w:rFonts w:hint="eastAsia" w:ascii="宋体" w:hAnsi="宋体"/>
          <w:b/>
          <w:sz w:val="21"/>
          <w:szCs w:val="21"/>
        </w:rPr>
        <w:t>联系</w:t>
      </w:r>
      <w:r>
        <w:rPr>
          <w:rFonts w:ascii="宋体" w:hAnsi="宋体"/>
          <w:b/>
          <w:sz w:val="21"/>
          <w:szCs w:val="21"/>
        </w:rPr>
        <w:t>地址</w:t>
      </w:r>
      <w:r>
        <w:rPr>
          <w:rFonts w:hint="eastAsia" w:ascii="宋体" w:hAnsi="宋体"/>
          <w:b/>
          <w:sz w:val="21"/>
          <w:szCs w:val="21"/>
        </w:rPr>
        <w:t>。</w:t>
      </w:r>
    </w:p>
    <w:p>
      <w:pPr>
        <w:spacing w:line="360" w:lineRule="auto"/>
        <w:ind w:firstLine="843" w:firstLineChars="400"/>
        <w:jc w:val="both"/>
        <w:rPr>
          <w:rFonts w:ascii="宋体" w:hAnsi="宋体"/>
          <w:b/>
          <w:sz w:val="21"/>
          <w:szCs w:val="21"/>
        </w:rPr>
      </w:pPr>
      <w:r>
        <w:rPr>
          <w:rFonts w:hint="eastAsia" w:ascii="宋体" w:hAnsi="宋体"/>
          <w:b/>
          <w:sz w:val="21"/>
          <w:szCs w:val="21"/>
        </w:rPr>
        <w:t>（3）供应商必须提交上述</w:t>
      </w:r>
      <w:r>
        <w:rPr>
          <w:rFonts w:ascii="宋体" w:hAnsi="宋体"/>
          <w:b/>
          <w:sz w:val="21"/>
          <w:szCs w:val="21"/>
        </w:rPr>
        <w:t>1</w:t>
      </w:r>
      <w:r>
        <w:rPr>
          <w:rFonts w:hint="eastAsia" w:ascii="宋体" w:hAnsi="宋体"/>
          <w:b/>
          <w:sz w:val="21"/>
          <w:szCs w:val="21"/>
        </w:rPr>
        <w:t>—</w:t>
      </w:r>
      <w:r>
        <w:rPr>
          <w:rFonts w:ascii="宋体" w:hAnsi="宋体"/>
          <w:b/>
          <w:sz w:val="21"/>
          <w:szCs w:val="21"/>
        </w:rPr>
        <w:t>14</w:t>
      </w:r>
      <w:r>
        <w:rPr>
          <w:rFonts w:hint="eastAsia" w:ascii="宋体" w:hAnsi="宋体"/>
          <w:b/>
          <w:sz w:val="21"/>
          <w:szCs w:val="21"/>
        </w:rPr>
        <w:t>款规定的资料。否则，响应文件将因未实质响应采购文件而被拒绝。</w:t>
      </w:r>
    </w:p>
    <w:p>
      <w:pPr>
        <w:tabs>
          <w:tab w:val="left" w:pos="3000"/>
        </w:tabs>
        <w:spacing w:line="360" w:lineRule="auto"/>
        <w:ind w:firstLine="422" w:firstLineChars="200"/>
        <w:jc w:val="both"/>
        <w:outlineLvl w:val="2"/>
        <w:rPr>
          <w:b/>
          <w:sz w:val="21"/>
          <w:szCs w:val="21"/>
        </w:rPr>
      </w:pPr>
      <w:r>
        <w:rPr>
          <w:b/>
          <w:sz w:val="21"/>
          <w:szCs w:val="21"/>
        </w:rPr>
        <w:t>（二）</w:t>
      </w:r>
      <w:r>
        <w:rPr>
          <w:rFonts w:hint="eastAsia"/>
          <w:b/>
          <w:sz w:val="21"/>
          <w:szCs w:val="21"/>
        </w:rPr>
        <w:t>响应</w:t>
      </w:r>
      <w:r>
        <w:rPr>
          <w:b/>
          <w:sz w:val="21"/>
          <w:szCs w:val="21"/>
        </w:rPr>
        <w:t>文件要求</w:t>
      </w:r>
      <w:r>
        <w:rPr>
          <w:rFonts w:hint="eastAsia"/>
          <w:b/>
          <w:sz w:val="21"/>
          <w:szCs w:val="21"/>
        </w:rPr>
        <w:t>：</w:t>
      </w:r>
    </w:p>
    <w:p>
      <w:pPr>
        <w:spacing w:line="360" w:lineRule="auto"/>
        <w:ind w:firstLine="420" w:firstLineChars="200"/>
        <w:jc w:val="both"/>
        <w:rPr>
          <w:rFonts w:ascii="宋体" w:hAnsi="宋体"/>
          <w:sz w:val="21"/>
          <w:szCs w:val="21"/>
        </w:rPr>
      </w:pPr>
      <w:r>
        <w:rPr>
          <w:rFonts w:ascii="宋体" w:hAnsi="宋体"/>
          <w:sz w:val="21"/>
          <w:szCs w:val="21"/>
        </w:rPr>
        <w:t>1、数量要求为一本正本，</w:t>
      </w:r>
      <w:r>
        <w:rPr>
          <w:rFonts w:hint="eastAsia" w:ascii="宋体" w:hAnsi="宋体"/>
          <w:sz w:val="21"/>
          <w:szCs w:val="21"/>
        </w:rPr>
        <w:t>两</w:t>
      </w:r>
      <w:r>
        <w:rPr>
          <w:rFonts w:ascii="宋体" w:hAnsi="宋体"/>
          <w:sz w:val="21"/>
          <w:szCs w:val="21"/>
        </w:rPr>
        <w:t>本副本</w:t>
      </w:r>
      <w:r>
        <w:rPr>
          <w:rFonts w:hint="eastAsia" w:ascii="宋体" w:hAnsi="宋体"/>
          <w:sz w:val="21"/>
          <w:szCs w:val="21"/>
        </w:rPr>
        <w:t>；正副本内容应一致，如有矛盾以正本为准，</w:t>
      </w:r>
      <w:r>
        <w:rPr>
          <w:rFonts w:hint="eastAsia" w:ascii="宋体" w:hAnsi="宋体"/>
          <w:bCs/>
          <w:sz w:val="21"/>
          <w:szCs w:val="21"/>
        </w:rPr>
        <w:t>装在一个包装袋里密封，封口处盖章，并在密封袋正面有醒目的项目编号和供应商名称；</w:t>
      </w:r>
    </w:p>
    <w:p>
      <w:pPr>
        <w:spacing w:line="360" w:lineRule="auto"/>
        <w:ind w:firstLine="420" w:firstLineChars="200"/>
        <w:jc w:val="both"/>
        <w:rPr>
          <w:rFonts w:ascii="宋体" w:hAnsi="宋体"/>
          <w:bCs/>
          <w:sz w:val="21"/>
          <w:szCs w:val="21"/>
        </w:rPr>
      </w:pPr>
      <w:r>
        <w:rPr>
          <w:rFonts w:ascii="宋体" w:hAnsi="宋体"/>
          <w:bCs/>
          <w:sz w:val="21"/>
          <w:szCs w:val="21"/>
        </w:rPr>
        <w:t>2、</w:t>
      </w:r>
      <w:r>
        <w:rPr>
          <w:rFonts w:hint="eastAsia" w:ascii="宋体" w:hAnsi="宋体"/>
          <w:bCs/>
          <w:sz w:val="21"/>
          <w:szCs w:val="21"/>
        </w:rPr>
        <w:t>响应文件正本和副本均应使用不能擦去的黑色或蓝色墨水打印或书写，由供应商法定代表人或代理人在采购文件要求处，亲自签署或盖章，并在单位盖章处加盖公章。若未按上述要求签署的响应文件将被拒绝。</w:t>
      </w:r>
    </w:p>
    <w:p>
      <w:pPr>
        <w:spacing w:line="360" w:lineRule="auto"/>
        <w:ind w:firstLine="420" w:firstLineChars="200"/>
        <w:jc w:val="both"/>
        <w:rPr>
          <w:rFonts w:ascii="宋体" w:hAnsi="宋体"/>
          <w:bCs/>
          <w:sz w:val="21"/>
          <w:szCs w:val="21"/>
        </w:rPr>
      </w:pPr>
      <w:r>
        <w:rPr>
          <w:rFonts w:ascii="宋体" w:hAnsi="宋体"/>
          <w:bCs/>
          <w:sz w:val="21"/>
          <w:szCs w:val="21"/>
        </w:rPr>
        <w:t>3</w:t>
      </w:r>
      <w:r>
        <w:rPr>
          <w:rFonts w:hint="eastAsia" w:ascii="宋体" w:hAnsi="宋体"/>
          <w:bCs/>
          <w:sz w:val="21"/>
          <w:szCs w:val="21"/>
        </w:rPr>
        <w:t>、全套响应文件应无涂改和行间插字，除非这些删改是根据采购人指示进行的，或者是供应商造成的必须修改的错误。但修改处应由供应商法定代表人或代理人签字证明。</w:t>
      </w:r>
    </w:p>
    <w:p>
      <w:pPr>
        <w:spacing w:line="360" w:lineRule="auto"/>
        <w:ind w:firstLine="420" w:firstLineChars="200"/>
        <w:jc w:val="both"/>
        <w:rPr>
          <w:rFonts w:ascii="宋体" w:hAnsi="宋体"/>
          <w:sz w:val="21"/>
          <w:szCs w:val="21"/>
        </w:rPr>
      </w:pPr>
      <w:r>
        <w:rPr>
          <w:rFonts w:ascii="宋体" w:hAnsi="宋体"/>
          <w:bCs/>
          <w:sz w:val="21"/>
          <w:szCs w:val="21"/>
        </w:rPr>
        <w:t>4</w:t>
      </w:r>
      <w:r>
        <w:rPr>
          <w:rFonts w:hint="eastAsia" w:ascii="宋体" w:hAnsi="宋体"/>
          <w:bCs/>
          <w:sz w:val="21"/>
          <w:szCs w:val="21"/>
        </w:rPr>
        <w:t>、在参加谈判时须将响应文件装订成册后密封递交，响应文件封皮必须注明：采购编号、采购人名称、项目名称、标段号（若本项目划分标段采购）、供应商名称、联系人、联系方式、联系地址。</w:t>
      </w:r>
      <w:r>
        <w:rPr>
          <w:rFonts w:hint="eastAsia" w:ascii="宋体" w:hAnsi="宋体"/>
          <w:sz w:val="21"/>
          <w:szCs w:val="21"/>
        </w:rPr>
        <w:t>如</w:t>
      </w:r>
      <w:r>
        <w:rPr>
          <w:rFonts w:hint="eastAsia" w:ascii="宋体" w:hAnsi="宋体"/>
          <w:bCs/>
          <w:sz w:val="21"/>
          <w:szCs w:val="21"/>
        </w:rPr>
        <w:t>以上要求资料</w:t>
      </w:r>
      <w:r>
        <w:rPr>
          <w:rFonts w:hint="eastAsia" w:ascii="宋体" w:hAnsi="宋体"/>
          <w:sz w:val="21"/>
          <w:szCs w:val="21"/>
        </w:rPr>
        <w:t>不全，则为无效响应文件。</w:t>
      </w:r>
    </w:p>
    <w:p>
      <w:pPr>
        <w:spacing w:line="360" w:lineRule="auto"/>
        <w:ind w:firstLine="420" w:firstLineChars="200"/>
        <w:jc w:val="both"/>
        <w:rPr>
          <w:rFonts w:ascii="宋体" w:hAnsi="宋体"/>
          <w:bCs/>
          <w:sz w:val="21"/>
          <w:szCs w:val="21"/>
        </w:rPr>
      </w:pPr>
      <w:r>
        <w:rPr>
          <w:rFonts w:ascii="宋体" w:hAnsi="宋体"/>
          <w:bCs/>
          <w:sz w:val="21"/>
          <w:szCs w:val="21"/>
        </w:rPr>
        <w:t>5</w:t>
      </w:r>
      <w:r>
        <w:rPr>
          <w:rFonts w:hint="eastAsia" w:ascii="宋体" w:hAnsi="宋体"/>
          <w:bCs/>
          <w:sz w:val="21"/>
          <w:szCs w:val="21"/>
        </w:rPr>
        <w:t>、未按上述要求制作的响应文件，采购人有权拒绝。</w:t>
      </w:r>
    </w:p>
    <w:p>
      <w:pPr>
        <w:spacing w:line="360" w:lineRule="auto"/>
        <w:ind w:firstLine="422" w:firstLineChars="200"/>
        <w:jc w:val="both"/>
        <w:outlineLvl w:val="1"/>
        <w:rPr>
          <w:b/>
          <w:bCs/>
          <w:sz w:val="21"/>
          <w:szCs w:val="21"/>
        </w:rPr>
      </w:pPr>
      <w:r>
        <w:rPr>
          <w:rFonts w:hint="eastAsia"/>
          <w:b/>
          <w:bCs/>
          <w:sz w:val="21"/>
          <w:szCs w:val="21"/>
        </w:rPr>
        <w:t>七</w:t>
      </w:r>
      <w:r>
        <w:rPr>
          <w:b/>
          <w:bCs/>
          <w:sz w:val="21"/>
          <w:szCs w:val="21"/>
        </w:rPr>
        <w:t>、联系方式：</w:t>
      </w:r>
    </w:p>
    <w:p>
      <w:pPr>
        <w:spacing w:line="360" w:lineRule="auto"/>
        <w:ind w:firstLine="420" w:firstLineChars="200"/>
        <w:jc w:val="both"/>
        <w:rPr>
          <w:rFonts w:ascii="宋体" w:hAnsi="宋体"/>
          <w:bCs/>
          <w:sz w:val="21"/>
          <w:szCs w:val="21"/>
        </w:rPr>
      </w:pPr>
      <w:r>
        <w:rPr>
          <w:rFonts w:hint="eastAsia" w:ascii="宋体" w:hAnsi="宋体"/>
          <w:bCs/>
          <w:sz w:val="21"/>
          <w:szCs w:val="21"/>
        </w:rPr>
        <w:t>名    称</w:t>
      </w:r>
      <w:r>
        <w:rPr>
          <w:rFonts w:ascii="宋体" w:hAnsi="宋体"/>
          <w:bCs/>
          <w:sz w:val="21"/>
          <w:szCs w:val="21"/>
        </w:rPr>
        <w:t>：</w:t>
      </w:r>
      <w:r>
        <w:rPr>
          <w:rFonts w:hint="eastAsia" w:ascii="宋体" w:hAnsi="宋体"/>
          <w:bCs/>
          <w:sz w:val="21"/>
          <w:szCs w:val="21"/>
        </w:rPr>
        <w:t>南通港集团建设投资有限公司</w:t>
      </w:r>
    </w:p>
    <w:p>
      <w:pPr>
        <w:spacing w:line="360" w:lineRule="auto"/>
        <w:ind w:firstLine="420" w:firstLineChars="200"/>
        <w:jc w:val="both"/>
        <w:rPr>
          <w:rFonts w:ascii="宋体" w:hAnsi="宋体"/>
          <w:bCs/>
          <w:sz w:val="21"/>
          <w:szCs w:val="21"/>
        </w:rPr>
      </w:pPr>
      <w:r>
        <w:rPr>
          <w:rFonts w:hint="eastAsia" w:ascii="宋体" w:hAnsi="宋体"/>
          <w:bCs/>
          <w:sz w:val="21"/>
          <w:szCs w:val="21"/>
        </w:rPr>
        <w:t>联系</w:t>
      </w:r>
      <w:r>
        <w:rPr>
          <w:rFonts w:ascii="宋体" w:hAnsi="宋体"/>
          <w:bCs/>
          <w:sz w:val="21"/>
          <w:szCs w:val="21"/>
        </w:rPr>
        <w:t>地址：</w:t>
      </w:r>
      <w:r>
        <w:rPr>
          <w:rFonts w:hint="eastAsia" w:ascii="宋体" w:hAnsi="宋体"/>
          <w:sz w:val="21"/>
          <w:szCs w:val="21"/>
          <w:lang w:val="en-US" w:eastAsia="zh-CN"/>
        </w:rPr>
        <w:t>南通市崇川区启瑞大厦2707房间</w:t>
      </w:r>
      <w:bookmarkStart w:id="92" w:name="_GoBack"/>
      <w:bookmarkEnd w:id="92"/>
    </w:p>
    <w:p>
      <w:pPr>
        <w:spacing w:line="360" w:lineRule="auto"/>
        <w:ind w:firstLine="420" w:firstLineChars="200"/>
        <w:jc w:val="both"/>
        <w:rPr>
          <w:rFonts w:hint="eastAsia" w:ascii="宋体" w:hAnsi="宋体" w:eastAsia="宋体"/>
          <w:bCs/>
          <w:sz w:val="21"/>
          <w:szCs w:val="21"/>
          <w:lang w:eastAsia="zh-CN"/>
        </w:rPr>
      </w:pPr>
      <w:r>
        <w:rPr>
          <w:rFonts w:hint="eastAsia" w:ascii="宋体" w:hAnsi="宋体"/>
          <w:bCs/>
          <w:sz w:val="21"/>
          <w:szCs w:val="21"/>
        </w:rPr>
        <w:t>联 系 人</w:t>
      </w:r>
      <w:r>
        <w:rPr>
          <w:rFonts w:ascii="宋体" w:hAnsi="宋体"/>
          <w:bCs/>
          <w:sz w:val="21"/>
          <w:szCs w:val="21"/>
        </w:rPr>
        <w:t>：</w:t>
      </w:r>
      <w:r>
        <w:rPr>
          <w:rFonts w:hint="eastAsia" w:ascii="宋体" w:hAnsi="宋体"/>
          <w:bCs/>
          <w:sz w:val="21"/>
          <w:szCs w:val="21"/>
          <w:lang w:eastAsia="zh-CN"/>
        </w:rPr>
        <w:t>冯佳慧</w:t>
      </w:r>
    </w:p>
    <w:p>
      <w:pPr>
        <w:spacing w:line="360" w:lineRule="auto"/>
        <w:ind w:firstLine="420" w:firstLineChars="200"/>
        <w:jc w:val="both"/>
        <w:rPr>
          <w:rFonts w:hint="default" w:ascii="宋体" w:hAnsi="宋体" w:eastAsia="宋体"/>
          <w:bCs/>
          <w:sz w:val="21"/>
          <w:szCs w:val="21"/>
          <w:lang w:val="en-US" w:eastAsia="zh-CN"/>
        </w:rPr>
      </w:pPr>
      <w:r>
        <w:rPr>
          <w:rFonts w:hint="eastAsia" w:ascii="宋体" w:hAnsi="宋体"/>
          <w:bCs/>
          <w:sz w:val="21"/>
          <w:szCs w:val="21"/>
        </w:rPr>
        <w:t>联系电话</w:t>
      </w:r>
      <w:r>
        <w:rPr>
          <w:rFonts w:ascii="宋体" w:hAnsi="宋体"/>
          <w:bCs/>
          <w:sz w:val="21"/>
          <w:szCs w:val="21"/>
        </w:rPr>
        <w:t>：</w:t>
      </w:r>
      <w:r>
        <w:rPr>
          <w:rFonts w:hint="eastAsia" w:ascii="宋体" w:hAnsi="宋体"/>
          <w:bCs/>
          <w:sz w:val="21"/>
          <w:szCs w:val="21"/>
          <w:lang w:val="en-US" w:eastAsia="zh-CN"/>
        </w:rPr>
        <w:t>18252478128</w:t>
      </w:r>
    </w:p>
    <w:p>
      <w:pPr>
        <w:spacing w:line="360" w:lineRule="auto"/>
        <w:ind w:firstLine="422" w:firstLineChars="200"/>
        <w:jc w:val="both"/>
        <w:outlineLvl w:val="1"/>
        <w:rPr>
          <w:b/>
          <w:bCs/>
          <w:sz w:val="21"/>
          <w:szCs w:val="21"/>
        </w:rPr>
      </w:pPr>
      <w:r>
        <w:rPr>
          <w:rFonts w:hint="eastAsia"/>
          <w:b/>
          <w:bCs/>
          <w:sz w:val="21"/>
          <w:szCs w:val="21"/>
        </w:rPr>
        <w:t>八</w:t>
      </w:r>
      <w:r>
        <w:rPr>
          <w:b/>
          <w:bCs/>
          <w:sz w:val="21"/>
          <w:szCs w:val="21"/>
        </w:rPr>
        <w:t>、</w:t>
      </w:r>
      <w:r>
        <w:rPr>
          <w:rFonts w:hint="eastAsia"/>
          <w:b/>
          <w:bCs/>
          <w:sz w:val="21"/>
          <w:szCs w:val="21"/>
        </w:rPr>
        <w:t>响应</w:t>
      </w:r>
      <w:r>
        <w:rPr>
          <w:b/>
          <w:bCs/>
          <w:sz w:val="21"/>
          <w:szCs w:val="21"/>
        </w:rPr>
        <w:t>文件的递交</w:t>
      </w:r>
      <w:r>
        <w:rPr>
          <w:rFonts w:hint="eastAsia"/>
          <w:b/>
          <w:bCs/>
          <w:sz w:val="21"/>
          <w:szCs w:val="21"/>
        </w:rPr>
        <w:t>和</w:t>
      </w:r>
      <w:r>
        <w:rPr>
          <w:b/>
          <w:bCs/>
          <w:sz w:val="21"/>
          <w:szCs w:val="21"/>
        </w:rPr>
        <w:t>谈判：</w:t>
      </w:r>
    </w:p>
    <w:p>
      <w:pPr>
        <w:spacing w:line="360" w:lineRule="auto"/>
        <w:ind w:firstLine="420" w:firstLineChars="200"/>
        <w:jc w:val="both"/>
        <w:rPr>
          <w:rFonts w:ascii="宋体" w:hAnsi="宋体"/>
          <w:sz w:val="21"/>
          <w:szCs w:val="21"/>
        </w:rPr>
      </w:pPr>
      <w:r>
        <w:rPr>
          <w:rFonts w:ascii="宋体" w:hAnsi="宋体"/>
          <w:sz w:val="21"/>
          <w:szCs w:val="21"/>
        </w:rPr>
        <w:t>1、</w:t>
      </w:r>
      <w:r>
        <w:rPr>
          <w:rFonts w:hint="eastAsia" w:ascii="宋体" w:hAnsi="宋体"/>
          <w:sz w:val="21"/>
          <w:szCs w:val="21"/>
        </w:rPr>
        <w:t>解密</w:t>
      </w:r>
      <w:r>
        <w:rPr>
          <w:rFonts w:ascii="宋体" w:hAnsi="宋体"/>
          <w:sz w:val="21"/>
          <w:szCs w:val="21"/>
        </w:rPr>
        <w:t>及响应文件递交</w:t>
      </w:r>
      <w:r>
        <w:rPr>
          <w:rFonts w:hint="eastAsia" w:ascii="宋体" w:hAnsi="宋体"/>
          <w:sz w:val="21"/>
          <w:szCs w:val="21"/>
        </w:rPr>
        <w:t>时间</w:t>
      </w:r>
      <w:r>
        <w:rPr>
          <w:rFonts w:ascii="宋体" w:hAnsi="宋体"/>
          <w:sz w:val="21"/>
          <w:szCs w:val="21"/>
        </w:rPr>
        <w:t>：201</w:t>
      </w:r>
      <w:r>
        <w:rPr>
          <w:rFonts w:hint="eastAsia" w:ascii="宋体" w:hAnsi="宋体"/>
          <w:sz w:val="21"/>
          <w:szCs w:val="21"/>
          <w:lang w:val="en-US" w:eastAsia="zh-CN"/>
        </w:rPr>
        <w:t>9</w:t>
      </w:r>
      <w:r>
        <w:rPr>
          <w:rFonts w:ascii="宋体" w:hAnsi="宋体"/>
          <w:sz w:val="21"/>
          <w:szCs w:val="21"/>
        </w:rPr>
        <w:t>年</w:t>
      </w:r>
      <w:r>
        <w:rPr>
          <w:rFonts w:hint="eastAsia" w:ascii="宋体" w:hAnsi="宋体"/>
          <w:sz w:val="21"/>
          <w:szCs w:val="21"/>
          <w:lang w:val="en-US" w:eastAsia="zh-CN"/>
        </w:rPr>
        <w:t>5</w:t>
      </w:r>
      <w:r>
        <w:rPr>
          <w:rFonts w:ascii="宋体" w:hAnsi="宋体"/>
          <w:sz w:val="21"/>
          <w:szCs w:val="21"/>
        </w:rPr>
        <w:t xml:space="preserve">月 </w:t>
      </w:r>
      <w:r>
        <w:rPr>
          <w:rFonts w:hint="eastAsia" w:ascii="宋体" w:hAnsi="宋体"/>
          <w:sz w:val="21"/>
          <w:szCs w:val="21"/>
          <w:lang w:val="en-US" w:eastAsia="zh-CN"/>
        </w:rPr>
        <w:t>17</w:t>
      </w:r>
      <w:r>
        <w:rPr>
          <w:rFonts w:ascii="宋体" w:hAnsi="宋体"/>
          <w:sz w:val="21"/>
          <w:szCs w:val="21"/>
        </w:rPr>
        <w:t>日</w:t>
      </w:r>
      <w:r>
        <w:rPr>
          <w:rFonts w:hint="eastAsia" w:ascii="宋体" w:hAnsi="宋体"/>
          <w:sz w:val="21"/>
          <w:szCs w:val="21"/>
          <w:lang w:eastAsia="zh-CN"/>
        </w:rPr>
        <w:t>下午</w:t>
      </w:r>
      <w:r>
        <w:rPr>
          <w:rFonts w:hint="eastAsia" w:ascii="宋体" w:hAnsi="宋体"/>
          <w:sz w:val="21"/>
          <w:szCs w:val="21"/>
          <w:lang w:val="en-US" w:eastAsia="zh-CN"/>
        </w:rPr>
        <w:t>13:30</w:t>
      </w:r>
      <w:r>
        <w:rPr>
          <w:rFonts w:ascii="宋体" w:hAnsi="宋体"/>
          <w:sz w:val="21"/>
          <w:szCs w:val="21"/>
        </w:rPr>
        <w:t>—</w:t>
      </w:r>
      <w:r>
        <w:rPr>
          <w:rFonts w:hint="eastAsia" w:ascii="宋体" w:hAnsi="宋体"/>
          <w:sz w:val="21"/>
          <w:szCs w:val="21"/>
          <w:lang w:val="en-US" w:eastAsia="zh-CN"/>
        </w:rPr>
        <w:t>14</w:t>
      </w:r>
      <w:r>
        <w:rPr>
          <w:rFonts w:hint="eastAsia" w:ascii="宋体" w:hAnsi="宋体"/>
          <w:sz w:val="21"/>
          <w:szCs w:val="21"/>
        </w:rPr>
        <w:t>:</w:t>
      </w:r>
      <w:r>
        <w:rPr>
          <w:rFonts w:hint="eastAsia" w:ascii="宋体" w:hAnsi="宋体"/>
          <w:sz w:val="21"/>
          <w:szCs w:val="21"/>
          <w:lang w:val="en-US" w:eastAsia="zh-CN"/>
        </w:rPr>
        <w:t>0</w:t>
      </w:r>
      <w:r>
        <w:rPr>
          <w:rFonts w:hint="eastAsia" w:ascii="宋体" w:hAnsi="宋体"/>
          <w:sz w:val="21"/>
          <w:szCs w:val="21"/>
        </w:rPr>
        <w:t>0整（北京</w:t>
      </w:r>
      <w:r>
        <w:rPr>
          <w:rFonts w:ascii="宋体" w:hAnsi="宋体"/>
          <w:sz w:val="21"/>
          <w:szCs w:val="21"/>
        </w:rPr>
        <w:t>时间</w:t>
      </w:r>
      <w:r>
        <w:rPr>
          <w:rFonts w:hint="eastAsia" w:ascii="宋体" w:hAnsi="宋体"/>
          <w:sz w:val="21"/>
          <w:szCs w:val="21"/>
        </w:rPr>
        <w:t>）</w:t>
      </w:r>
    </w:p>
    <w:p>
      <w:pPr>
        <w:spacing w:line="360" w:lineRule="auto"/>
        <w:ind w:firstLine="420" w:firstLineChars="200"/>
        <w:jc w:val="both"/>
        <w:rPr>
          <w:rFonts w:ascii="宋体" w:hAnsi="宋体"/>
          <w:sz w:val="21"/>
          <w:szCs w:val="21"/>
        </w:rPr>
      </w:pPr>
      <w:r>
        <w:rPr>
          <w:rFonts w:hint="eastAsia" w:ascii="宋体" w:hAnsi="宋体"/>
          <w:sz w:val="21"/>
          <w:szCs w:val="21"/>
        </w:rPr>
        <w:t>2、解密</w:t>
      </w:r>
      <w:r>
        <w:rPr>
          <w:rFonts w:ascii="宋体" w:hAnsi="宋体"/>
          <w:sz w:val="21"/>
          <w:szCs w:val="21"/>
        </w:rPr>
        <w:t>及响应文件递交</w:t>
      </w:r>
      <w:r>
        <w:rPr>
          <w:rFonts w:hint="eastAsia" w:ascii="宋体" w:hAnsi="宋体"/>
          <w:sz w:val="21"/>
          <w:szCs w:val="21"/>
        </w:rPr>
        <w:t>截止时间</w:t>
      </w:r>
      <w:r>
        <w:rPr>
          <w:rFonts w:ascii="宋体" w:hAnsi="宋体"/>
          <w:sz w:val="21"/>
          <w:szCs w:val="21"/>
        </w:rPr>
        <w:t>：201</w:t>
      </w:r>
      <w:r>
        <w:rPr>
          <w:rFonts w:hint="eastAsia" w:ascii="宋体" w:hAnsi="宋体"/>
          <w:sz w:val="21"/>
          <w:szCs w:val="21"/>
          <w:lang w:val="en-US" w:eastAsia="zh-CN"/>
        </w:rPr>
        <w:t>9</w:t>
      </w:r>
      <w:r>
        <w:rPr>
          <w:rFonts w:ascii="宋体" w:hAnsi="宋体"/>
          <w:sz w:val="21"/>
          <w:szCs w:val="21"/>
        </w:rPr>
        <w:t>年</w:t>
      </w:r>
      <w:r>
        <w:rPr>
          <w:rFonts w:hint="eastAsia" w:ascii="宋体" w:hAnsi="宋体"/>
          <w:sz w:val="21"/>
          <w:szCs w:val="21"/>
          <w:lang w:val="en-US" w:eastAsia="zh-CN"/>
        </w:rPr>
        <w:t>5</w:t>
      </w:r>
      <w:r>
        <w:rPr>
          <w:rFonts w:ascii="宋体" w:hAnsi="宋体"/>
          <w:sz w:val="21"/>
          <w:szCs w:val="21"/>
        </w:rPr>
        <w:t>月</w:t>
      </w:r>
      <w:r>
        <w:rPr>
          <w:rFonts w:hint="eastAsia" w:ascii="宋体" w:hAnsi="宋体"/>
          <w:sz w:val="21"/>
          <w:szCs w:val="21"/>
          <w:lang w:val="en-US" w:eastAsia="zh-CN"/>
        </w:rPr>
        <w:t>17</w:t>
      </w:r>
      <w:r>
        <w:rPr>
          <w:rFonts w:ascii="宋体" w:hAnsi="宋体"/>
          <w:sz w:val="21"/>
          <w:szCs w:val="21"/>
        </w:rPr>
        <w:t>日</w:t>
      </w:r>
      <w:r>
        <w:rPr>
          <w:rFonts w:hint="eastAsia" w:ascii="宋体" w:hAnsi="宋体"/>
          <w:sz w:val="21"/>
          <w:szCs w:val="21"/>
          <w:lang w:eastAsia="zh-CN"/>
        </w:rPr>
        <w:t>下午</w:t>
      </w:r>
      <w:r>
        <w:rPr>
          <w:rFonts w:hint="eastAsia" w:ascii="宋体" w:hAnsi="宋体"/>
          <w:sz w:val="21"/>
          <w:szCs w:val="21"/>
          <w:lang w:val="en-US" w:eastAsia="zh-CN"/>
        </w:rPr>
        <w:t>14</w:t>
      </w:r>
      <w:r>
        <w:rPr>
          <w:rFonts w:hint="eastAsia" w:ascii="宋体" w:hAnsi="宋体"/>
          <w:sz w:val="21"/>
          <w:szCs w:val="21"/>
        </w:rPr>
        <w:t>:</w:t>
      </w:r>
      <w:r>
        <w:rPr>
          <w:rFonts w:hint="eastAsia" w:ascii="宋体" w:hAnsi="宋体"/>
          <w:sz w:val="21"/>
          <w:szCs w:val="21"/>
          <w:lang w:val="en-US" w:eastAsia="zh-CN"/>
        </w:rPr>
        <w:t>0</w:t>
      </w:r>
      <w:r>
        <w:rPr>
          <w:rFonts w:hint="eastAsia" w:ascii="宋体" w:hAnsi="宋体"/>
          <w:sz w:val="21"/>
          <w:szCs w:val="21"/>
        </w:rPr>
        <w:t>0整</w:t>
      </w:r>
      <w:r>
        <w:rPr>
          <w:rFonts w:ascii="宋体" w:hAnsi="宋体"/>
          <w:sz w:val="21"/>
          <w:szCs w:val="21"/>
        </w:rPr>
        <w:t>（北京时间）</w:t>
      </w:r>
    </w:p>
    <w:p>
      <w:pPr>
        <w:spacing w:line="360" w:lineRule="auto"/>
        <w:ind w:firstLine="420" w:firstLineChars="200"/>
        <w:jc w:val="both"/>
        <w:rPr>
          <w:rFonts w:ascii="宋体" w:hAnsi="宋体"/>
          <w:sz w:val="21"/>
          <w:szCs w:val="21"/>
        </w:rPr>
      </w:pPr>
      <w:r>
        <w:rPr>
          <w:rFonts w:hint="eastAsia" w:ascii="宋体" w:hAnsi="宋体"/>
          <w:sz w:val="21"/>
          <w:szCs w:val="21"/>
        </w:rPr>
        <w:t>3</w:t>
      </w:r>
      <w:r>
        <w:rPr>
          <w:rFonts w:ascii="宋体" w:hAnsi="宋体"/>
          <w:sz w:val="21"/>
          <w:szCs w:val="21"/>
        </w:rPr>
        <w:t>、响应文件</w:t>
      </w:r>
      <w:r>
        <w:rPr>
          <w:rFonts w:hint="eastAsia" w:ascii="宋体" w:hAnsi="宋体"/>
          <w:sz w:val="21"/>
          <w:szCs w:val="21"/>
        </w:rPr>
        <w:t>接收人：南通港集团建设投资有限公司</w:t>
      </w:r>
    </w:p>
    <w:p>
      <w:pPr>
        <w:spacing w:line="360" w:lineRule="auto"/>
        <w:ind w:firstLine="420" w:firstLineChars="200"/>
        <w:jc w:val="both"/>
        <w:rPr>
          <w:rFonts w:ascii="宋体" w:hAnsi="宋体"/>
          <w:sz w:val="21"/>
          <w:szCs w:val="21"/>
        </w:rPr>
      </w:pPr>
      <w:r>
        <w:rPr>
          <w:rFonts w:hint="eastAsia" w:ascii="宋体" w:hAnsi="宋体"/>
          <w:sz w:val="21"/>
          <w:szCs w:val="21"/>
        </w:rPr>
        <w:t>4</w:t>
      </w:r>
      <w:r>
        <w:rPr>
          <w:rFonts w:ascii="宋体" w:hAnsi="宋体"/>
          <w:sz w:val="21"/>
          <w:szCs w:val="21"/>
        </w:rPr>
        <w:t>、谈判</w:t>
      </w:r>
      <w:r>
        <w:rPr>
          <w:rFonts w:hint="eastAsia" w:ascii="宋体" w:hAnsi="宋体"/>
          <w:sz w:val="21"/>
          <w:szCs w:val="21"/>
        </w:rPr>
        <w:t>开始</w:t>
      </w:r>
      <w:r>
        <w:rPr>
          <w:rFonts w:ascii="宋体" w:hAnsi="宋体"/>
          <w:sz w:val="21"/>
          <w:szCs w:val="21"/>
        </w:rPr>
        <w:t>时间：201</w:t>
      </w:r>
      <w:r>
        <w:rPr>
          <w:rFonts w:hint="eastAsia" w:ascii="宋体" w:hAnsi="宋体"/>
          <w:sz w:val="21"/>
          <w:szCs w:val="21"/>
          <w:lang w:val="en-US" w:eastAsia="zh-CN"/>
        </w:rPr>
        <w:t>9</w:t>
      </w:r>
      <w:r>
        <w:rPr>
          <w:rFonts w:ascii="宋体" w:hAnsi="宋体"/>
          <w:sz w:val="21"/>
          <w:szCs w:val="21"/>
        </w:rPr>
        <w:t>年</w:t>
      </w:r>
      <w:r>
        <w:rPr>
          <w:rFonts w:hint="eastAsia" w:ascii="宋体" w:hAnsi="宋体"/>
          <w:sz w:val="21"/>
          <w:szCs w:val="21"/>
          <w:lang w:val="en-US" w:eastAsia="zh-CN"/>
        </w:rPr>
        <w:t>5</w:t>
      </w:r>
      <w:r>
        <w:rPr>
          <w:rFonts w:ascii="宋体" w:hAnsi="宋体"/>
          <w:sz w:val="21"/>
          <w:szCs w:val="21"/>
        </w:rPr>
        <w:t>月</w:t>
      </w:r>
      <w:r>
        <w:rPr>
          <w:rFonts w:hint="eastAsia" w:ascii="宋体" w:hAnsi="宋体"/>
          <w:sz w:val="21"/>
          <w:szCs w:val="21"/>
          <w:lang w:val="en-US" w:eastAsia="zh-CN"/>
        </w:rPr>
        <w:t>17</w:t>
      </w:r>
      <w:r>
        <w:rPr>
          <w:rFonts w:ascii="宋体" w:hAnsi="宋体"/>
          <w:sz w:val="21"/>
          <w:szCs w:val="21"/>
        </w:rPr>
        <w:t>日</w:t>
      </w:r>
      <w:r>
        <w:rPr>
          <w:rFonts w:hint="eastAsia" w:ascii="宋体" w:hAnsi="宋体"/>
          <w:sz w:val="21"/>
          <w:szCs w:val="21"/>
          <w:lang w:eastAsia="zh-CN"/>
        </w:rPr>
        <w:t>下午</w:t>
      </w:r>
      <w:r>
        <w:rPr>
          <w:rFonts w:hint="eastAsia" w:ascii="宋体" w:hAnsi="宋体"/>
          <w:sz w:val="21"/>
          <w:szCs w:val="21"/>
          <w:lang w:val="en-US" w:eastAsia="zh-CN"/>
        </w:rPr>
        <w:t>14</w:t>
      </w:r>
      <w:r>
        <w:rPr>
          <w:rFonts w:hint="eastAsia" w:ascii="宋体" w:hAnsi="宋体"/>
          <w:sz w:val="21"/>
          <w:szCs w:val="21"/>
        </w:rPr>
        <w:t>:</w:t>
      </w:r>
      <w:r>
        <w:rPr>
          <w:rFonts w:hint="eastAsia" w:ascii="宋体" w:hAnsi="宋体"/>
          <w:sz w:val="21"/>
          <w:szCs w:val="21"/>
          <w:lang w:val="en-US" w:eastAsia="zh-CN"/>
        </w:rPr>
        <w:t>0</w:t>
      </w:r>
      <w:r>
        <w:rPr>
          <w:rFonts w:hint="eastAsia" w:ascii="宋体" w:hAnsi="宋体"/>
          <w:sz w:val="21"/>
          <w:szCs w:val="21"/>
        </w:rPr>
        <w:t>0整</w:t>
      </w:r>
      <w:r>
        <w:rPr>
          <w:rFonts w:ascii="宋体" w:hAnsi="宋体"/>
          <w:sz w:val="21"/>
          <w:szCs w:val="21"/>
        </w:rPr>
        <w:t>（北京时间）</w:t>
      </w:r>
    </w:p>
    <w:p>
      <w:pPr>
        <w:spacing w:line="360" w:lineRule="auto"/>
        <w:ind w:firstLine="420" w:firstLineChars="200"/>
        <w:jc w:val="both"/>
        <w:rPr>
          <w:rFonts w:ascii="宋体" w:hAnsi="宋体"/>
          <w:sz w:val="21"/>
          <w:szCs w:val="21"/>
        </w:rPr>
      </w:pPr>
      <w:r>
        <w:rPr>
          <w:rFonts w:hint="eastAsia" w:ascii="宋体" w:hAnsi="宋体"/>
          <w:sz w:val="21"/>
          <w:szCs w:val="21"/>
        </w:rPr>
        <w:t>5、</w:t>
      </w:r>
      <w:r>
        <w:rPr>
          <w:rFonts w:ascii="宋体" w:hAnsi="宋体"/>
          <w:sz w:val="21"/>
          <w:szCs w:val="21"/>
        </w:rPr>
        <w:t>谈判地点</w:t>
      </w:r>
      <w:r>
        <w:rPr>
          <w:rFonts w:hint="eastAsia" w:ascii="宋体" w:hAnsi="宋体"/>
          <w:sz w:val="21"/>
          <w:szCs w:val="21"/>
        </w:rPr>
        <w:t>及</w:t>
      </w:r>
      <w:r>
        <w:rPr>
          <w:rFonts w:ascii="宋体" w:hAnsi="宋体"/>
          <w:sz w:val="21"/>
          <w:szCs w:val="21"/>
        </w:rPr>
        <w:t>地址：</w:t>
      </w:r>
      <w:r>
        <w:rPr>
          <w:rFonts w:hint="eastAsia" w:ascii="宋体" w:hAnsi="宋体"/>
          <w:sz w:val="21"/>
          <w:szCs w:val="21"/>
          <w:lang w:val="en-US" w:eastAsia="zh-CN"/>
        </w:rPr>
        <w:t>南通市崇川区启瑞大厦2707房间</w:t>
      </w:r>
    </w:p>
    <w:p>
      <w:pPr>
        <w:spacing w:line="360" w:lineRule="auto"/>
        <w:ind w:firstLine="420" w:firstLineChars="200"/>
        <w:jc w:val="both"/>
        <w:rPr>
          <w:rFonts w:ascii="宋体" w:hAnsi="宋体"/>
          <w:sz w:val="21"/>
          <w:szCs w:val="21"/>
        </w:rPr>
      </w:pPr>
      <w:r>
        <w:rPr>
          <w:rFonts w:ascii="宋体" w:hAnsi="宋体"/>
          <w:sz w:val="21"/>
          <w:szCs w:val="21"/>
        </w:rPr>
        <w:t>6</w:t>
      </w:r>
      <w:r>
        <w:rPr>
          <w:rFonts w:hint="eastAsia" w:ascii="宋体" w:hAnsi="宋体"/>
          <w:sz w:val="21"/>
          <w:szCs w:val="21"/>
        </w:rPr>
        <w:t>、超过截止时间递交的</w:t>
      </w:r>
      <w:r>
        <w:rPr>
          <w:rFonts w:ascii="宋体" w:hAnsi="宋体"/>
          <w:sz w:val="21"/>
          <w:szCs w:val="21"/>
        </w:rPr>
        <w:t>响应文件</w:t>
      </w:r>
      <w:r>
        <w:rPr>
          <w:rFonts w:hint="eastAsia" w:ascii="宋体" w:hAnsi="宋体"/>
          <w:sz w:val="21"/>
          <w:szCs w:val="21"/>
        </w:rPr>
        <w:t>，采购人将</w:t>
      </w:r>
      <w:r>
        <w:rPr>
          <w:rFonts w:ascii="宋体" w:hAnsi="宋体"/>
          <w:sz w:val="21"/>
          <w:szCs w:val="21"/>
        </w:rPr>
        <w:t>拒绝接收</w:t>
      </w:r>
      <w:r>
        <w:rPr>
          <w:rFonts w:hint="eastAsia" w:ascii="宋体" w:hAnsi="宋体"/>
          <w:sz w:val="21"/>
          <w:szCs w:val="21"/>
        </w:rPr>
        <w:t>。</w:t>
      </w:r>
    </w:p>
    <w:p>
      <w:pPr>
        <w:spacing w:line="360" w:lineRule="auto"/>
        <w:ind w:firstLine="420" w:firstLineChars="200"/>
        <w:jc w:val="both"/>
        <w:rPr>
          <w:rFonts w:ascii="宋体" w:hAnsi="宋体"/>
          <w:sz w:val="21"/>
          <w:szCs w:val="21"/>
        </w:rPr>
      </w:pPr>
      <w:r>
        <w:rPr>
          <w:rFonts w:ascii="宋体" w:hAnsi="宋体"/>
          <w:sz w:val="21"/>
          <w:szCs w:val="21"/>
        </w:rPr>
        <w:t>7</w:t>
      </w:r>
      <w:r>
        <w:rPr>
          <w:rFonts w:hint="eastAsia" w:ascii="宋体" w:hAnsi="宋体"/>
          <w:sz w:val="21"/>
          <w:szCs w:val="21"/>
        </w:rPr>
        <w:t>、供应商的法定代表人或代理人必须携带响应文件及身份证明原件按本采购文件规定的时间准时参加，并递交响应文件，如法定代表人或代理人未能准时到期场，其响应文件将被拒绝接收。</w:t>
      </w:r>
    </w:p>
    <w:p>
      <w:pPr>
        <w:autoSpaceDE w:val="0"/>
        <w:autoSpaceDN w:val="0"/>
        <w:spacing w:line="360" w:lineRule="auto"/>
        <w:ind w:firstLine="422" w:firstLineChars="200"/>
        <w:jc w:val="both"/>
        <w:outlineLvl w:val="1"/>
        <w:rPr>
          <w:b/>
          <w:bCs/>
          <w:sz w:val="21"/>
          <w:szCs w:val="21"/>
        </w:rPr>
      </w:pPr>
      <w:r>
        <w:rPr>
          <w:rFonts w:hint="eastAsia" w:ascii="宋体"/>
          <w:b/>
          <w:bCs/>
          <w:sz w:val="21"/>
          <w:szCs w:val="21"/>
          <w:lang w:val="zh-CN"/>
        </w:rPr>
        <w:t>九、谈判采购评标办法（</w:t>
      </w:r>
      <w:r>
        <w:rPr>
          <w:rFonts w:hint="eastAsia" w:ascii="宋体"/>
          <w:b/>
          <w:bCs/>
          <w:sz w:val="21"/>
          <w:szCs w:val="21"/>
          <w:lang w:val="en-US" w:eastAsia="zh-CN"/>
        </w:rPr>
        <w:t>综合评估</w:t>
      </w:r>
      <w:r>
        <w:rPr>
          <w:rFonts w:hint="eastAsia" w:ascii="宋体"/>
          <w:b/>
          <w:bCs/>
          <w:sz w:val="21"/>
          <w:szCs w:val="21"/>
          <w:lang w:val="zh-CN"/>
        </w:rPr>
        <w:t>法）：</w:t>
      </w:r>
    </w:p>
    <w:p>
      <w:pPr>
        <w:spacing w:line="360" w:lineRule="auto"/>
        <w:ind w:firstLine="420" w:firstLineChars="200"/>
        <w:jc w:val="both"/>
        <w:rPr>
          <w:rFonts w:hint="eastAsia" w:ascii="宋体" w:hAnsi="宋体"/>
          <w:sz w:val="21"/>
          <w:szCs w:val="21"/>
        </w:rPr>
      </w:pPr>
      <w:bookmarkStart w:id="8" w:name="_Toc255396872"/>
      <w:r>
        <w:rPr>
          <w:rFonts w:hint="eastAsia" w:ascii="宋体" w:hAnsi="宋体"/>
          <w:sz w:val="21"/>
          <w:szCs w:val="21"/>
          <w:lang w:val="en-US" w:eastAsia="zh-CN"/>
        </w:rPr>
        <w:t>1、</w:t>
      </w:r>
      <w:r>
        <w:rPr>
          <w:rFonts w:hint="eastAsia" w:ascii="宋体" w:hAnsi="宋体"/>
          <w:sz w:val="21"/>
          <w:szCs w:val="21"/>
        </w:rPr>
        <w:t>为统一和规范评标工作，评标委员会依据《</w:t>
      </w:r>
      <w:r>
        <w:rPr>
          <w:rFonts w:hint="eastAsia" w:ascii="宋体" w:hAnsi="宋体"/>
          <w:sz w:val="21"/>
          <w:szCs w:val="21"/>
          <w:lang w:eastAsia="zh-CN"/>
        </w:rPr>
        <w:t>南通港通海港区至通州湾港区铁路专用线一期工程项目特许经营咨询竞争性谈判</w:t>
      </w:r>
      <w:r>
        <w:rPr>
          <w:rFonts w:hint="eastAsia" w:ascii="宋体" w:hAnsi="宋体"/>
          <w:sz w:val="21"/>
          <w:szCs w:val="21"/>
        </w:rPr>
        <w:t>文件》和部、省有关规定，制定本办法。</w:t>
      </w:r>
    </w:p>
    <w:p>
      <w:pPr>
        <w:spacing w:line="360" w:lineRule="auto"/>
        <w:ind w:firstLine="420" w:firstLineChars="200"/>
        <w:jc w:val="both"/>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本办法适用于</w:t>
      </w:r>
      <w:r>
        <w:rPr>
          <w:rFonts w:hint="eastAsia" w:ascii="宋体" w:hAnsi="宋体"/>
          <w:sz w:val="21"/>
          <w:szCs w:val="21"/>
          <w:lang w:eastAsia="zh-CN"/>
        </w:rPr>
        <w:t>南通港通海港区至通州湾港区铁路专用线一期工程项目特许经营咨询</w:t>
      </w:r>
      <w:r>
        <w:rPr>
          <w:rFonts w:hint="eastAsia" w:ascii="宋体" w:hAnsi="宋体"/>
          <w:sz w:val="21"/>
          <w:szCs w:val="21"/>
        </w:rPr>
        <w:t>的评标。</w:t>
      </w:r>
    </w:p>
    <w:p>
      <w:pPr>
        <w:spacing w:line="360" w:lineRule="auto"/>
        <w:ind w:firstLine="420" w:firstLineChars="200"/>
        <w:jc w:val="both"/>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评标工作应遵循公平、公正、科学、择优的原则。</w:t>
      </w:r>
    </w:p>
    <w:p>
      <w:pPr>
        <w:spacing w:line="360" w:lineRule="auto"/>
        <w:ind w:firstLine="420" w:firstLineChars="200"/>
        <w:jc w:val="both"/>
        <w:rPr>
          <w:rFonts w:hint="eastAsia" w:ascii="宋体" w:hAnsi="宋体"/>
          <w:sz w:val="21"/>
          <w:szCs w:val="21"/>
          <w:highlight w:val="none"/>
          <w:u w:val="none"/>
        </w:rPr>
      </w:pPr>
      <w:r>
        <w:rPr>
          <w:rFonts w:hint="eastAsia" w:ascii="宋体" w:hAnsi="宋体"/>
          <w:sz w:val="21"/>
          <w:szCs w:val="21"/>
          <w:lang w:val="en-US" w:eastAsia="zh-CN"/>
        </w:rPr>
        <w:t>4、</w:t>
      </w:r>
      <w:r>
        <w:rPr>
          <w:rFonts w:hint="eastAsia" w:ascii="宋体" w:hAnsi="宋体"/>
          <w:sz w:val="21"/>
          <w:szCs w:val="21"/>
          <w:highlight w:val="none"/>
          <w:u w:val="none"/>
        </w:rPr>
        <w:t>评标委员会由招标人代表和有关技术、经济等方面的专家组成，人数为</w:t>
      </w:r>
      <w:r>
        <w:rPr>
          <w:rFonts w:hint="eastAsia" w:ascii="宋体" w:hAnsi="宋体"/>
          <w:sz w:val="21"/>
          <w:szCs w:val="21"/>
          <w:highlight w:val="none"/>
          <w:u w:val="none"/>
          <w:lang w:val="en-US" w:eastAsia="zh-CN"/>
        </w:rPr>
        <w:t>3</w:t>
      </w:r>
      <w:r>
        <w:rPr>
          <w:rFonts w:hint="eastAsia" w:ascii="宋体" w:hAnsi="宋体"/>
          <w:sz w:val="21"/>
          <w:szCs w:val="21"/>
          <w:highlight w:val="none"/>
          <w:u w:val="none"/>
        </w:rPr>
        <w:t>人及以上单数，其中技术、经济等方面的专家不得少于成员总数的三分之二，评标委员会设主任委员一名，由评标委员会推选产生。主任委员与评标委员会委员有同等的建议权和表决权。评标委员会成员应当客观、公正地履行职责，遵守职业道德，严肃评标及保密纪律，自觉接受监督。</w:t>
      </w:r>
    </w:p>
    <w:p>
      <w:pPr>
        <w:spacing w:line="360" w:lineRule="auto"/>
        <w:ind w:firstLine="420" w:firstLineChars="200"/>
        <w:jc w:val="both"/>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评标工作主要程序为：</w:t>
      </w:r>
    </w:p>
    <w:p>
      <w:pPr>
        <w:spacing w:line="360" w:lineRule="auto"/>
        <w:ind w:firstLine="420" w:firstLineChars="200"/>
        <w:jc w:val="both"/>
        <w:rPr>
          <w:rFonts w:hint="eastAsia" w:ascii="宋体" w:hAnsi="宋体"/>
          <w:sz w:val="21"/>
          <w:szCs w:val="21"/>
        </w:rPr>
      </w:pPr>
      <w:bookmarkStart w:id="9" w:name="_Toc76194471"/>
      <w:bookmarkStart w:id="10" w:name="_Toc81032576"/>
      <w:bookmarkStart w:id="11" w:name="_Toc80853258"/>
      <w:bookmarkStart w:id="12" w:name="_Toc81021294"/>
      <w:bookmarkStart w:id="13" w:name="_Toc100635782"/>
      <w:bookmarkStart w:id="14" w:name="_Toc79813330"/>
      <w:r>
        <w:rPr>
          <w:rFonts w:hint="eastAsia" w:ascii="宋体" w:hAnsi="宋体"/>
          <w:sz w:val="21"/>
          <w:szCs w:val="21"/>
          <w:lang w:eastAsia="zh-CN"/>
        </w:rPr>
        <w:t>（</w:t>
      </w:r>
      <w:r>
        <w:rPr>
          <w:rFonts w:hint="eastAsia" w:ascii="宋体" w:hAnsi="宋体"/>
          <w:sz w:val="21"/>
          <w:szCs w:val="21"/>
          <w:lang w:val="en-US" w:eastAsia="zh-CN"/>
        </w:rPr>
        <w:t>1</w:t>
      </w:r>
      <w:r>
        <w:rPr>
          <w:rFonts w:hint="eastAsia" w:ascii="宋体" w:hAnsi="宋体"/>
          <w:sz w:val="21"/>
          <w:szCs w:val="21"/>
          <w:lang w:eastAsia="zh-CN"/>
        </w:rPr>
        <w:t>）</w:t>
      </w:r>
      <w:r>
        <w:rPr>
          <w:rFonts w:hint="eastAsia" w:ascii="宋体" w:hAnsi="宋体"/>
          <w:sz w:val="21"/>
          <w:szCs w:val="21"/>
        </w:rPr>
        <w:t>招标人宣布评标委员会组成；</w:t>
      </w:r>
    </w:p>
    <w:p>
      <w:pPr>
        <w:tabs>
          <w:tab w:val="left" w:pos="1440"/>
        </w:tabs>
        <w:adjustRightInd w:val="0"/>
        <w:snapToGrid w:val="0"/>
        <w:spacing w:line="336" w:lineRule="auto"/>
        <w:ind w:firstLine="471"/>
        <w:rPr>
          <w:rFonts w:hint="eastAsia" w:ascii="宋体" w:hAnsi="宋体"/>
          <w:snapToGrid w:val="0"/>
          <w:kern w:val="0"/>
          <w:szCs w:val="21"/>
        </w:rPr>
      </w:pPr>
      <w:r>
        <w:rPr>
          <w:rFonts w:hint="eastAsia" w:ascii="宋体" w:hAnsi="宋体"/>
          <w:sz w:val="21"/>
          <w:szCs w:val="21"/>
          <w:lang w:eastAsia="zh-CN"/>
        </w:rPr>
        <w:t>（</w:t>
      </w:r>
      <w:r>
        <w:rPr>
          <w:rFonts w:hint="eastAsia" w:ascii="宋体" w:hAnsi="宋体"/>
          <w:sz w:val="21"/>
          <w:szCs w:val="21"/>
          <w:lang w:val="en-US" w:eastAsia="zh-CN"/>
        </w:rPr>
        <w:t>2</w:t>
      </w:r>
      <w:r>
        <w:rPr>
          <w:rFonts w:hint="eastAsia" w:ascii="宋体" w:hAnsi="宋体"/>
          <w:sz w:val="21"/>
          <w:szCs w:val="21"/>
          <w:lang w:eastAsia="zh-CN"/>
        </w:rPr>
        <w:t>）推选评标委员会主任委员；</w:t>
      </w:r>
    </w:p>
    <w:p>
      <w:pPr>
        <w:tabs>
          <w:tab w:val="left" w:pos="1440"/>
        </w:tabs>
        <w:adjustRightInd w:val="0"/>
        <w:snapToGrid w:val="0"/>
        <w:spacing w:line="336" w:lineRule="auto"/>
        <w:ind w:firstLine="471"/>
        <w:rPr>
          <w:rFonts w:hint="eastAsia" w:ascii="宋体" w:hAnsi="宋体"/>
          <w:snapToGrid w:val="0"/>
          <w:kern w:val="0"/>
          <w:szCs w:val="21"/>
        </w:rPr>
      </w:pPr>
      <w:r>
        <w:rPr>
          <w:rFonts w:hint="eastAsia" w:ascii="宋体" w:hAnsi="宋体"/>
          <w:sz w:val="21"/>
          <w:szCs w:val="21"/>
          <w:lang w:val="en-US" w:eastAsia="zh-CN"/>
        </w:rPr>
        <w:t>（3）审阅评标办法；</w:t>
      </w:r>
    </w:p>
    <w:p>
      <w:pPr>
        <w:tabs>
          <w:tab w:val="left" w:pos="1440"/>
        </w:tabs>
        <w:adjustRightInd w:val="0"/>
        <w:snapToGrid w:val="0"/>
        <w:spacing w:line="336" w:lineRule="auto"/>
        <w:ind w:firstLine="471"/>
        <w:rPr>
          <w:rFonts w:hint="eastAsia" w:ascii="宋体" w:hAnsi="宋体"/>
          <w:snapToGrid w:val="0"/>
          <w:kern w:val="0"/>
          <w:szCs w:val="21"/>
        </w:rPr>
      </w:pPr>
      <w:r>
        <w:rPr>
          <w:rFonts w:hint="eastAsia" w:ascii="宋体" w:hAnsi="宋体"/>
          <w:sz w:val="21"/>
          <w:szCs w:val="21"/>
          <w:lang w:val="en-US" w:eastAsia="zh-CN"/>
        </w:rPr>
        <w:t>（4）初步评审；</w:t>
      </w:r>
    </w:p>
    <w:p>
      <w:pPr>
        <w:tabs>
          <w:tab w:val="left" w:pos="1440"/>
        </w:tabs>
        <w:adjustRightInd w:val="0"/>
        <w:snapToGrid w:val="0"/>
        <w:spacing w:line="336" w:lineRule="auto"/>
        <w:ind w:firstLine="471"/>
        <w:rPr>
          <w:rFonts w:hint="eastAsia" w:ascii="宋体" w:hAnsi="宋体"/>
          <w:snapToGrid w:val="0"/>
          <w:kern w:val="0"/>
          <w:szCs w:val="21"/>
        </w:rPr>
      </w:pPr>
      <w:r>
        <w:rPr>
          <w:rFonts w:hint="eastAsia" w:ascii="宋体" w:hAnsi="宋体"/>
          <w:sz w:val="21"/>
          <w:szCs w:val="21"/>
          <w:lang w:val="en-US" w:eastAsia="zh-CN"/>
        </w:rPr>
        <w:t>（5）详细评审；</w:t>
      </w:r>
    </w:p>
    <w:p>
      <w:pPr>
        <w:tabs>
          <w:tab w:val="left" w:pos="1440"/>
        </w:tabs>
        <w:adjustRightInd w:val="0"/>
        <w:snapToGrid w:val="0"/>
        <w:spacing w:line="336" w:lineRule="auto"/>
        <w:ind w:firstLine="471"/>
        <w:rPr>
          <w:rFonts w:hint="eastAsia" w:ascii="宋体" w:hAnsi="宋体"/>
          <w:snapToGrid w:val="0"/>
          <w:kern w:val="0"/>
          <w:szCs w:val="21"/>
        </w:rPr>
      </w:pPr>
      <w:r>
        <w:rPr>
          <w:rFonts w:hint="eastAsia" w:ascii="宋体" w:hAnsi="宋体"/>
          <w:sz w:val="21"/>
          <w:szCs w:val="21"/>
          <w:lang w:val="en-US" w:eastAsia="zh-CN"/>
        </w:rPr>
        <w:t>（6）提出评标意见，推荐中标候选人；</w:t>
      </w:r>
    </w:p>
    <w:p>
      <w:pPr>
        <w:tabs>
          <w:tab w:val="left" w:pos="1440"/>
        </w:tabs>
        <w:adjustRightInd w:val="0"/>
        <w:snapToGrid w:val="0"/>
        <w:spacing w:line="336" w:lineRule="auto"/>
        <w:ind w:firstLine="471"/>
        <w:rPr>
          <w:rFonts w:hint="eastAsia" w:ascii="宋体" w:hAnsi="宋体"/>
          <w:snapToGrid w:val="0"/>
          <w:kern w:val="0"/>
          <w:szCs w:val="21"/>
        </w:rPr>
      </w:pPr>
      <w:r>
        <w:rPr>
          <w:rFonts w:hint="eastAsia" w:ascii="宋体" w:hAnsi="宋体"/>
          <w:sz w:val="21"/>
          <w:szCs w:val="21"/>
          <w:lang w:val="en-US" w:eastAsia="zh-CN"/>
        </w:rPr>
        <w:t>（7）提交书面评标报告。</w:t>
      </w:r>
    </w:p>
    <w:p>
      <w:pPr>
        <w:spacing w:line="360" w:lineRule="auto"/>
        <w:ind w:firstLine="420" w:firstLineChars="200"/>
        <w:jc w:val="both"/>
        <w:rPr>
          <w:rFonts w:hint="eastAsia" w:ascii="宋体" w:hAnsi="宋体"/>
          <w:sz w:val="21"/>
          <w:szCs w:val="21"/>
          <w:lang w:val="en-US" w:eastAsia="zh-CN"/>
        </w:rPr>
      </w:pPr>
      <w:r>
        <w:rPr>
          <w:rFonts w:hint="eastAsia" w:ascii="宋体" w:hAnsi="宋体"/>
          <w:sz w:val="21"/>
          <w:szCs w:val="21"/>
          <w:lang w:val="en-US" w:eastAsia="zh-CN"/>
        </w:rPr>
        <w:t>6、</w:t>
      </w:r>
      <w:bookmarkEnd w:id="9"/>
      <w:bookmarkEnd w:id="10"/>
      <w:bookmarkEnd w:id="11"/>
      <w:bookmarkEnd w:id="12"/>
      <w:bookmarkEnd w:id="13"/>
      <w:bookmarkEnd w:id="14"/>
      <w:r>
        <w:rPr>
          <w:rFonts w:hint="eastAsia" w:ascii="宋体" w:hAnsi="宋体"/>
          <w:sz w:val="21"/>
          <w:szCs w:val="21"/>
          <w:lang w:val="en-US" w:eastAsia="zh-CN"/>
        </w:rPr>
        <w:t>初步评审</w:t>
      </w:r>
    </w:p>
    <w:p>
      <w:pPr>
        <w:tabs>
          <w:tab w:val="left" w:pos="1440"/>
        </w:tabs>
        <w:adjustRightInd w:val="0"/>
        <w:snapToGrid w:val="0"/>
        <w:spacing w:line="336" w:lineRule="auto"/>
        <w:ind w:firstLine="471"/>
        <w:rPr>
          <w:rFonts w:hint="eastAsia" w:ascii="宋体" w:hAnsi="宋体"/>
          <w:sz w:val="21"/>
          <w:szCs w:val="21"/>
          <w:lang w:val="en-US" w:eastAsia="zh-CN"/>
        </w:rPr>
      </w:pPr>
      <w:r>
        <w:rPr>
          <w:rFonts w:hint="eastAsia" w:ascii="宋体" w:hAnsi="宋体"/>
          <w:sz w:val="21"/>
          <w:szCs w:val="21"/>
          <w:lang w:val="en-US" w:eastAsia="zh-CN"/>
        </w:rPr>
        <w:t>评标委员会先对投标人进行资格审查，不通过资格审查的投标将否决其投标。投标人通过资格审查的条件如下：</w:t>
      </w:r>
    </w:p>
    <w:p>
      <w:pPr>
        <w:spacing w:line="360" w:lineRule="auto"/>
        <w:ind w:firstLine="420" w:firstLineChars="200"/>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（1）投标人应为江苏省财政厅《江苏省PPP项目专业咨询服务机构库》入库单位。</w:t>
      </w:r>
    </w:p>
    <w:p>
      <w:pPr>
        <w:spacing w:line="360" w:lineRule="auto"/>
        <w:ind w:firstLine="420" w:firstLineChars="200"/>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（2）单位业绩要求：近两年至少独立完成过一项铁路或公路项目的“PPP或BOT”实施方案和协议咨询工作的成功案列（项目落地且至少已经进入建设施工阶段）。</w:t>
      </w:r>
    </w:p>
    <w:p>
      <w:pPr>
        <w:spacing w:line="360" w:lineRule="auto"/>
        <w:ind w:firstLine="420" w:firstLineChars="200"/>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3）项目负责人要求：项目负责人必须为参选单位在职、注册员工；具备土木工程类或工程经济类及相关专业高级职称；具备注册咨询工程师（投资）执业资格；近两年至少担任过一项类似规模的铁路或公路项目的“PPP或BOT”实施方案和协议咨询工作的成功案列（项目落地且至少已经进入建设施工阶段）的项目负责人。无不良信用记录。</w:t>
      </w:r>
    </w:p>
    <w:p>
      <w:pPr>
        <w:spacing w:line="360" w:lineRule="auto"/>
        <w:ind w:firstLine="420" w:firstLineChars="200"/>
        <w:jc w:val="both"/>
        <w:rPr>
          <w:rFonts w:hint="eastAsia" w:ascii="宋体" w:hAnsi="宋体"/>
          <w:sz w:val="21"/>
          <w:szCs w:val="21"/>
          <w:highlight w:val="none"/>
          <w:lang w:val="en-US" w:eastAsia="zh-CN"/>
        </w:rPr>
      </w:pPr>
      <w:r>
        <w:rPr>
          <w:rFonts w:hint="eastAsia" w:ascii="宋体" w:hAnsi="宋体"/>
          <w:sz w:val="21"/>
          <w:szCs w:val="21"/>
          <w:highlight w:val="none"/>
          <w:lang w:val="en-US" w:eastAsia="zh-CN"/>
        </w:rPr>
        <w:t>（4）项目团队中工程、财务、经济、法律等专项负责人资质及业绩要求：均应为参选单位在职、注册员工；应具备相关专业中级以上职称和相应执业资格(注册咨询工程师(投资)、注册造价工程师、注册会计师、法律职业资格证、一级建造师、投资建设项目管理师等)，近两年至少担任过一项铁路或公路项目的“PPP或BOT”实施方案和协议咨询工作的成功案例(项目落地且至少已经进入建设施工阶段)的专项负责人。无不良信用记录。</w:t>
      </w:r>
    </w:p>
    <w:p>
      <w:pPr>
        <w:spacing w:line="360" w:lineRule="auto"/>
        <w:ind w:firstLine="422" w:firstLineChars="200"/>
        <w:jc w:val="both"/>
        <w:rPr>
          <w:rFonts w:hint="default" w:ascii="黑体" w:hAnsi="黑体" w:eastAsia="黑体" w:cs="黑体"/>
          <w:b/>
          <w:bCs/>
          <w:szCs w:val="21"/>
          <w:highlight w:val="none"/>
          <w:lang w:val="en-US" w:eastAsia="zh-CN"/>
        </w:rPr>
      </w:pPr>
      <w:r>
        <w:rPr>
          <w:rFonts w:hint="eastAsia" w:ascii="宋体" w:hAnsi="宋体"/>
          <w:b/>
          <w:bCs/>
          <w:sz w:val="21"/>
          <w:szCs w:val="21"/>
          <w:highlight w:val="none"/>
          <w:lang w:val="en-US" w:eastAsia="zh-CN"/>
        </w:rPr>
        <w:t>注：1、业绩需同时包含实施方案和协议咨询两项，否则不予认可。2、以上人员证书、业绩均须提供证明材料彩色复印件，否则不予认可。</w:t>
      </w:r>
    </w:p>
    <w:p>
      <w:pPr>
        <w:spacing w:line="360" w:lineRule="auto"/>
        <w:ind w:firstLine="422" w:firstLineChars="200"/>
        <w:jc w:val="both"/>
        <w:rPr>
          <w:rFonts w:hint="eastAsia" w:ascii="宋体" w:hAnsi="宋体"/>
          <w:b/>
          <w:bCs/>
          <w:sz w:val="21"/>
          <w:szCs w:val="21"/>
          <w:highlight w:val="none"/>
          <w:lang w:val="en-US" w:eastAsia="zh-CN"/>
        </w:rPr>
      </w:pPr>
      <w:r>
        <w:rPr>
          <w:rFonts w:hint="eastAsia" w:ascii="宋体" w:hAnsi="宋体"/>
          <w:b/>
          <w:bCs/>
          <w:sz w:val="21"/>
          <w:szCs w:val="21"/>
          <w:highlight w:val="none"/>
          <w:lang w:val="en-US" w:eastAsia="zh-CN"/>
        </w:rPr>
        <w:t>投标人资格不符合上述之一者，即不能通过资格条件审查，将否决其投标，也不进入下一步评审。</w:t>
      </w:r>
    </w:p>
    <w:p>
      <w:pPr>
        <w:numPr>
          <w:ilvl w:val="0"/>
          <w:numId w:val="0"/>
        </w:numPr>
        <w:tabs>
          <w:tab w:val="left" w:pos="1472"/>
        </w:tabs>
        <w:adjustRightInd w:val="0"/>
        <w:snapToGrid w:val="0"/>
        <w:spacing w:line="336" w:lineRule="auto"/>
        <w:ind w:firstLine="420" w:firstLineChars="200"/>
        <w:rPr>
          <w:rFonts w:hint="eastAsia" w:ascii="宋体" w:hAnsi="宋体"/>
          <w:snapToGrid w:val="0"/>
          <w:kern w:val="0"/>
          <w:szCs w:val="21"/>
        </w:rPr>
      </w:pPr>
      <w:r>
        <w:rPr>
          <w:rFonts w:hint="eastAsia" w:ascii="宋体" w:hAnsi="宋体"/>
          <w:sz w:val="21"/>
          <w:szCs w:val="21"/>
          <w:lang w:val="en-US" w:eastAsia="zh-CN"/>
        </w:rPr>
        <w:t>7、评标委员会对通过资格审查的投标文件进行形式评审与响应性评审，通过形式评审与响应性评审的主要条件包括：</w:t>
      </w:r>
    </w:p>
    <w:p>
      <w:pPr>
        <w:spacing w:line="360" w:lineRule="auto"/>
        <w:ind w:firstLine="422" w:firstLineChars="200"/>
        <w:jc w:val="both"/>
        <w:rPr>
          <w:rFonts w:hint="eastAsia" w:ascii="宋体" w:hAnsi="宋体"/>
          <w:b/>
          <w:bCs/>
          <w:sz w:val="21"/>
          <w:szCs w:val="21"/>
          <w:highlight w:val="none"/>
          <w:lang w:val="en-US" w:eastAsia="zh-CN"/>
        </w:rPr>
      </w:pPr>
      <w:r>
        <w:rPr>
          <w:rFonts w:hint="eastAsia" w:ascii="宋体" w:hAnsi="宋体"/>
          <w:b/>
          <w:bCs/>
          <w:sz w:val="21"/>
          <w:szCs w:val="21"/>
          <w:highlight w:val="none"/>
          <w:lang w:val="en-US" w:eastAsia="zh-CN"/>
        </w:rPr>
        <w:t>（1）投标文件按照招标文件规定的格式、内容填写，字迹清晰可辨；</w:t>
      </w:r>
    </w:p>
    <w:p>
      <w:pPr>
        <w:spacing w:line="360" w:lineRule="auto"/>
        <w:ind w:firstLine="422" w:firstLineChars="200"/>
        <w:jc w:val="both"/>
        <w:rPr>
          <w:rFonts w:hint="eastAsia" w:ascii="宋体" w:hAnsi="宋体"/>
          <w:b/>
          <w:bCs/>
          <w:sz w:val="21"/>
          <w:szCs w:val="21"/>
          <w:highlight w:val="none"/>
          <w:lang w:val="en-US" w:eastAsia="zh-CN"/>
        </w:rPr>
      </w:pPr>
      <w:r>
        <w:rPr>
          <w:rFonts w:hint="eastAsia" w:ascii="宋体" w:hAnsi="宋体"/>
          <w:b/>
          <w:bCs/>
          <w:color w:val="auto"/>
          <w:sz w:val="21"/>
          <w:szCs w:val="21"/>
          <w:highlight w:val="none"/>
          <w:lang w:val="en-US" w:eastAsia="zh-CN"/>
        </w:rPr>
        <w:t>（2）</w:t>
      </w:r>
      <w:r>
        <w:rPr>
          <w:rFonts w:hint="eastAsia" w:ascii="宋体" w:hAnsi="宋体"/>
          <w:b/>
          <w:bCs/>
          <w:sz w:val="21"/>
          <w:szCs w:val="21"/>
          <w:highlight w:val="none"/>
          <w:lang w:val="en-US" w:eastAsia="zh-CN"/>
        </w:rPr>
        <w:t>投标文件上法定代表人或其授权代理人的签字、投标人的单位章齐全，符合招标文件规定；</w:t>
      </w:r>
    </w:p>
    <w:p>
      <w:pPr>
        <w:spacing w:line="360" w:lineRule="auto"/>
        <w:ind w:firstLine="422" w:firstLineChars="200"/>
        <w:jc w:val="both"/>
        <w:rPr>
          <w:rFonts w:hint="eastAsia" w:ascii="宋体" w:hAnsi="宋体"/>
          <w:b/>
          <w:bCs/>
          <w:sz w:val="21"/>
          <w:szCs w:val="21"/>
          <w:highlight w:val="none"/>
          <w:lang w:val="en-US" w:eastAsia="zh-CN"/>
        </w:rPr>
      </w:pPr>
      <w:r>
        <w:rPr>
          <w:rFonts w:hint="eastAsia" w:ascii="宋体" w:hAnsi="宋体"/>
          <w:b/>
          <w:bCs/>
          <w:sz w:val="21"/>
          <w:szCs w:val="21"/>
          <w:highlight w:val="none"/>
          <w:lang w:val="en-US" w:eastAsia="zh-CN"/>
        </w:rPr>
        <w:t>（3）投标文件载明的招标项目完成期限未超过招标文件规定的时限；</w:t>
      </w:r>
    </w:p>
    <w:p>
      <w:pPr>
        <w:spacing w:line="360" w:lineRule="auto"/>
        <w:ind w:firstLine="422" w:firstLineChars="200"/>
        <w:jc w:val="both"/>
        <w:rPr>
          <w:rFonts w:hint="eastAsia" w:ascii="宋体" w:hAnsi="宋体"/>
          <w:b/>
          <w:bCs/>
          <w:sz w:val="21"/>
          <w:szCs w:val="21"/>
          <w:highlight w:val="none"/>
          <w:lang w:val="en-US" w:eastAsia="zh-CN"/>
        </w:rPr>
      </w:pPr>
      <w:r>
        <w:rPr>
          <w:rFonts w:hint="eastAsia" w:ascii="宋体" w:hAnsi="宋体"/>
          <w:b/>
          <w:bCs/>
          <w:sz w:val="21"/>
          <w:szCs w:val="21"/>
          <w:highlight w:val="none"/>
          <w:lang w:val="en-US" w:eastAsia="zh-CN"/>
        </w:rPr>
        <w:t>（4）投标人未提供虚假资料。</w:t>
      </w:r>
    </w:p>
    <w:p>
      <w:pPr>
        <w:spacing w:line="360" w:lineRule="auto"/>
        <w:ind w:firstLine="422" w:firstLineChars="200"/>
        <w:jc w:val="both"/>
        <w:rPr>
          <w:rFonts w:hint="eastAsia" w:ascii="宋体" w:hAnsi="宋体"/>
          <w:b/>
          <w:bCs/>
          <w:sz w:val="21"/>
          <w:szCs w:val="21"/>
          <w:highlight w:val="none"/>
          <w:lang w:val="en-US" w:eastAsia="zh-CN"/>
        </w:rPr>
      </w:pPr>
      <w:r>
        <w:rPr>
          <w:rFonts w:hint="eastAsia" w:ascii="宋体" w:hAnsi="宋体"/>
          <w:b/>
          <w:bCs/>
          <w:sz w:val="21"/>
          <w:szCs w:val="21"/>
          <w:highlight w:val="none"/>
          <w:lang w:val="en-US" w:eastAsia="zh-CN"/>
        </w:rPr>
        <w:t>投标文件不符合以上条件之一的，应认为其存在有重大偏差，将否决其投标。对于实质上不符合招标文件要求的投标文件，不允许投标人更正或撤回其不符合规定的部分而使之符合规定。</w:t>
      </w:r>
    </w:p>
    <w:p>
      <w:pPr>
        <w:pStyle w:val="5"/>
        <w:numPr>
          <w:ilvl w:val="3"/>
          <w:numId w:val="0"/>
        </w:numPr>
        <w:snapToGrid w:val="0"/>
        <w:spacing w:before="0" w:after="0" w:line="336" w:lineRule="auto"/>
        <w:ind w:firstLine="420" w:firstLineChars="200"/>
        <w:jc w:val="both"/>
        <w:rPr>
          <w:rFonts w:hint="eastAsia" w:ascii="宋体" w:hAnsi="宋体"/>
          <w:snapToGrid w:val="0"/>
          <w:kern w:val="0"/>
          <w:szCs w:val="21"/>
        </w:rPr>
      </w:pPr>
      <w:r>
        <w:rPr>
          <w:rFonts w:hint="eastAsia" w:ascii="宋体" w:hAnsi="宋体" w:eastAsia="宋体" w:cs="Times New Roman"/>
          <w:b w:val="0"/>
          <w:bCs w:val="0"/>
          <w:sz w:val="21"/>
          <w:szCs w:val="21"/>
          <w:lang w:val="en-US" w:eastAsia="zh-CN" w:bidi="ar-SA"/>
        </w:rPr>
        <w:t>8、详细评审（综合评估打分）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b w:val="0"/>
          <w:bCs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b w:val="0"/>
          <w:bCs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b w:val="0"/>
          <w:bCs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b w:val="0"/>
          <w:bCs w:val="0"/>
          <w:sz w:val="21"/>
          <w:szCs w:val="21"/>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b w:val="0"/>
          <w:bCs w:val="0"/>
          <w:sz w:val="21"/>
          <w:szCs w:val="21"/>
          <w:lang w:val="en-US" w:eastAsia="zh-CN" w:bidi="ar-SA"/>
        </w:rPr>
      </w:pPr>
      <w:r>
        <w:rPr>
          <w:rFonts w:hint="eastAsia" w:ascii="宋体" w:hAnsi="宋体" w:eastAsia="宋体" w:cs="Times New Roman"/>
          <w:b w:val="0"/>
          <w:bCs w:val="0"/>
          <w:sz w:val="21"/>
          <w:szCs w:val="21"/>
          <w:lang w:val="en-US" w:eastAsia="zh-CN" w:bidi="ar-SA"/>
        </w:rPr>
        <w:t>（1）项目建议书评分(满分50分)</w:t>
      </w:r>
    </w:p>
    <w:tbl>
      <w:tblPr>
        <w:tblStyle w:val="3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432"/>
        <w:gridCol w:w="44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项目建议书评分标准</w:t>
            </w: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分值</w:t>
            </w:r>
          </w:p>
        </w:tc>
        <w:tc>
          <w:tcPr>
            <w:tcW w:w="747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747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r>
              <w:rPr>
                <w:rFonts w:hint="eastAsia" w:ascii="宋体" w:hAnsi="宋体" w:eastAsia="宋体" w:cs="宋体"/>
                <w:b/>
                <w:bCs/>
                <w:sz w:val="21"/>
                <w:szCs w:val="21"/>
                <w:vertAlign w:val="baseline"/>
              </w:rPr>
              <w:t>项目认知：</w:t>
            </w:r>
            <w:r>
              <w:rPr>
                <w:rFonts w:hint="eastAsia" w:ascii="宋体" w:hAnsi="宋体" w:eastAsia="宋体" w:cs="宋体"/>
                <w:sz w:val="21"/>
                <w:szCs w:val="21"/>
                <w:vertAlign w:val="baseline"/>
              </w:rPr>
              <w:t>须包含：对项目基本情况认知，重难点分析</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科学专业得4</w:t>
            </w:r>
            <w:r>
              <w:rPr>
                <w:rFonts w:hint="eastAsia" w:ascii="宋体" w:hAnsi="宋体" w:cs="宋体"/>
                <w:sz w:val="21"/>
                <w:szCs w:val="21"/>
                <w:vertAlign w:val="baseline"/>
                <w:lang w:val="en-US" w:eastAsia="zh-CN"/>
              </w:rPr>
              <w:t>-</w:t>
            </w:r>
            <w:r>
              <w:rPr>
                <w:rFonts w:hint="eastAsia" w:ascii="宋体" w:hAnsi="宋体" w:eastAsia="宋体" w:cs="宋体"/>
                <w:sz w:val="21"/>
                <w:szCs w:val="21"/>
                <w:vertAlign w:val="baseline"/>
              </w:rPr>
              <w:t>5</w:t>
            </w:r>
            <w:r>
              <w:rPr>
                <w:rFonts w:hint="eastAsia" w:ascii="宋体" w:hAnsi="宋体" w:cs="宋体"/>
                <w:sz w:val="21"/>
                <w:szCs w:val="21"/>
                <w:vertAlign w:val="baseline"/>
                <w:lang w:val="en-US" w:eastAsia="zh-CN"/>
              </w:rPr>
              <w:t>分；一</w:t>
            </w:r>
            <w:r>
              <w:rPr>
                <w:rFonts w:hint="eastAsia" w:ascii="宋体" w:hAnsi="宋体" w:eastAsia="宋体" w:cs="宋体"/>
                <w:sz w:val="21"/>
                <w:szCs w:val="21"/>
                <w:vertAlign w:val="baseline"/>
              </w:rPr>
              <w:t>般可行得2-3分</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欠合理得1分。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44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项目初步思考</w:t>
            </w:r>
          </w:p>
        </w:tc>
        <w:tc>
          <w:tcPr>
            <w:tcW w:w="7027"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r>
              <w:rPr>
                <w:rFonts w:hint="eastAsia" w:ascii="宋体" w:hAnsi="宋体" w:eastAsia="宋体" w:cs="宋体"/>
                <w:b/>
                <w:bCs/>
                <w:sz w:val="21"/>
                <w:szCs w:val="21"/>
                <w:vertAlign w:val="baseline"/>
              </w:rPr>
              <w:t>风险分配基本框架：</w:t>
            </w:r>
            <w:r>
              <w:rPr>
                <w:rFonts w:hint="eastAsia" w:ascii="宋体" w:hAnsi="宋体" w:eastAsia="宋体" w:cs="宋体"/>
                <w:sz w:val="21"/>
                <w:szCs w:val="21"/>
                <w:vertAlign w:val="baseline"/>
              </w:rPr>
              <w:t>须包含：风险识别、风险清单、风险分配原则、风险分配结果。科学专业得3-4分；一般可行得2分</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欠合理得1分。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44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7027"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eastAsia="zh-CN"/>
              </w:rPr>
            </w:pPr>
            <w:r>
              <w:rPr>
                <w:rFonts w:hint="eastAsia" w:ascii="宋体" w:hAnsi="宋体" w:eastAsia="宋体" w:cs="宋体"/>
                <w:b/>
                <w:bCs/>
                <w:sz w:val="21"/>
                <w:szCs w:val="21"/>
                <w:vertAlign w:val="baseline"/>
              </w:rPr>
              <w:t>项目运作方式：</w:t>
            </w:r>
            <w:r>
              <w:rPr>
                <w:rFonts w:hint="eastAsia" w:ascii="宋体" w:hAnsi="宋体" w:eastAsia="宋体" w:cs="宋体"/>
                <w:sz w:val="21"/>
                <w:szCs w:val="21"/>
                <w:vertAlign w:val="baseline"/>
              </w:rPr>
              <w:t>须包含：合作框架、运作方式分析、运作步骤、分步运作方式。科学专业得3-4分</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一</w:t>
            </w:r>
            <w:r>
              <w:rPr>
                <w:rFonts w:hint="eastAsia" w:ascii="宋体" w:hAnsi="宋体" w:eastAsia="宋体" w:cs="宋体"/>
                <w:sz w:val="21"/>
                <w:szCs w:val="21"/>
                <w:vertAlign w:val="baseline"/>
              </w:rPr>
              <w:t>般可行得2分；欠合理得1分</w:t>
            </w:r>
            <w:r>
              <w:rPr>
                <w:rFonts w:hint="eastAsia" w:ascii="宋体" w:hAnsi="宋体" w:cs="宋体"/>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44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7027"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r>
              <w:rPr>
                <w:rFonts w:hint="eastAsia" w:ascii="宋体" w:hAnsi="宋体" w:eastAsia="宋体" w:cs="宋体"/>
                <w:b/>
                <w:bCs/>
                <w:sz w:val="21"/>
                <w:szCs w:val="21"/>
                <w:vertAlign w:val="baseline"/>
              </w:rPr>
              <w:t>交易结构：</w:t>
            </w:r>
            <w:r>
              <w:rPr>
                <w:rFonts w:hint="eastAsia" w:ascii="宋体" w:hAnsi="宋体" w:eastAsia="宋体" w:cs="宋体"/>
                <w:sz w:val="21"/>
                <w:szCs w:val="21"/>
                <w:vertAlign w:val="baseline"/>
              </w:rPr>
              <w:t>须包含：投融资结构、交易结构、回报机制、调价机制。科学专业得3-4分；一般可行得2分；欠合理得1分。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44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7027"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r>
              <w:rPr>
                <w:rFonts w:hint="eastAsia" w:ascii="宋体" w:hAnsi="宋体" w:eastAsia="宋体" w:cs="宋体"/>
                <w:b/>
                <w:bCs/>
                <w:sz w:val="21"/>
                <w:szCs w:val="21"/>
                <w:vertAlign w:val="baseline"/>
              </w:rPr>
              <w:t>合同体系：</w:t>
            </w:r>
            <w:r>
              <w:rPr>
                <w:rFonts w:hint="eastAsia" w:ascii="宋体" w:hAnsi="宋体" w:eastAsia="宋体" w:cs="宋体"/>
                <w:sz w:val="21"/>
                <w:szCs w:val="21"/>
                <w:vertAlign w:val="baseline"/>
              </w:rPr>
              <w:t>须包含：合同体系、合同主要内容、合同边界条件、绩效考核。科学专业得3-4分</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一</w:t>
            </w:r>
            <w:r>
              <w:rPr>
                <w:rFonts w:hint="eastAsia" w:ascii="宋体" w:hAnsi="宋体" w:eastAsia="宋体" w:cs="宋体"/>
                <w:sz w:val="21"/>
                <w:szCs w:val="21"/>
                <w:vertAlign w:val="baseline"/>
              </w:rPr>
              <w:t>般可行得2分；欠合理得1分。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44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7027"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r>
              <w:rPr>
                <w:rFonts w:hint="eastAsia" w:ascii="宋体" w:hAnsi="宋体" w:eastAsia="宋体" w:cs="宋体"/>
                <w:b/>
                <w:bCs/>
                <w:sz w:val="21"/>
                <w:szCs w:val="21"/>
                <w:vertAlign w:val="baseline"/>
              </w:rPr>
              <w:t>监管架构：</w:t>
            </w:r>
            <w:r>
              <w:rPr>
                <w:rFonts w:hint="eastAsia" w:ascii="宋体" w:hAnsi="宋体" w:eastAsia="宋体" w:cs="宋体"/>
                <w:sz w:val="21"/>
                <w:szCs w:val="21"/>
                <w:vertAlign w:val="baseline"/>
              </w:rPr>
              <w:t>须包含：监管架构设计、项目外部监管、项目内部监管。科学专业得3分</w:t>
            </w:r>
            <w:r>
              <w:rPr>
                <w:rFonts w:hint="eastAsia" w:ascii="宋体" w:hAnsi="宋体" w:cs="宋体"/>
                <w:sz w:val="21"/>
                <w:szCs w:val="21"/>
                <w:vertAlign w:val="baseline"/>
                <w:lang w:eastAsia="zh-CN"/>
              </w:rPr>
              <w:t>；</w:t>
            </w:r>
            <w:r>
              <w:rPr>
                <w:rFonts w:hint="eastAsia" w:ascii="宋体" w:hAnsi="宋体" w:cs="宋体"/>
                <w:sz w:val="21"/>
                <w:szCs w:val="21"/>
                <w:vertAlign w:val="baseline"/>
                <w:lang w:val="en-US" w:eastAsia="zh-CN"/>
              </w:rPr>
              <w:t>一</w:t>
            </w:r>
            <w:r>
              <w:rPr>
                <w:rFonts w:hint="eastAsia" w:ascii="宋体" w:hAnsi="宋体" w:eastAsia="宋体" w:cs="宋体"/>
                <w:sz w:val="21"/>
                <w:szCs w:val="21"/>
                <w:vertAlign w:val="baseline"/>
              </w:rPr>
              <w:t>般可行得2分；欠合理得1分。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44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7027"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eastAsia="zh-CN"/>
              </w:rPr>
            </w:pPr>
            <w:r>
              <w:rPr>
                <w:rFonts w:hint="eastAsia" w:ascii="宋体" w:hAnsi="宋体" w:eastAsia="宋体" w:cs="宋体"/>
                <w:b/>
                <w:bCs/>
                <w:sz w:val="21"/>
                <w:szCs w:val="21"/>
                <w:vertAlign w:val="baseline"/>
              </w:rPr>
              <w:t>采购方式选择：</w:t>
            </w:r>
            <w:r>
              <w:rPr>
                <w:rFonts w:hint="eastAsia" w:ascii="宋体" w:hAnsi="宋体" w:eastAsia="宋体" w:cs="宋体"/>
                <w:sz w:val="21"/>
                <w:szCs w:val="21"/>
                <w:vertAlign w:val="baseline"/>
              </w:rPr>
              <w:t>须包含：采购方式分析、采购对象选择、采购基本程序</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科学专业得3分；一般可行得2分</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欠合理得1分</w:t>
            </w:r>
            <w:r>
              <w:rPr>
                <w:rFonts w:hint="eastAsia" w:ascii="宋体" w:hAnsi="宋体" w:cs="宋体"/>
                <w:sz w:val="21"/>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444"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7027"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r>
              <w:rPr>
                <w:rFonts w:hint="eastAsia" w:ascii="宋体" w:hAnsi="宋体" w:eastAsia="宋体" w:cs="宋体"/>
                <w:b/>
                <w:bCs/>
                <w:sz w:val="21"/>
                <w:szCs w:val="21"/>
                <w:vertAlign w:val="baseline"/>
              </w:rPr>
              <w:t>收费、财务测算和分析：</w:t>
            </w:r>
            <w:r>
              <w:rPr>
                <w:rFonts w:hint="eastAsia" w:ascii="宋体" w:hAnsi="宋体" w:eastAsia="宋体" w:cs="宋体"/>
                <w:sz w:val="21"/>
                <w:szCs w:val="21"/>
                <w:vertAlign w:val="baseline"/>
              </w:rPr>
              <w:t>须包含：收费及交通量财务测算说明，项目经营收益测算表、政府付费测算表、项目公司运维成本测算表、项目投资内部收益测算表。科学专业得</w:t>
            </w:r>
            <w:r>
              <w:rPr>
                <w:rFonts w:hint="eastAsia" w:ascii="宋体" w:hAnsi="宋体" w:cs="宋体"/>
                <w:sz w:val="21"/>
                <w:szCs w:val="21"/>
                <w:vertAlign w:val="baseline"/>
                <w:lang w:val="en-US" w:eastAsia="zh-CN"/>
              </w:rPr>
              <w:t>8-10</w:t>
            </w:r>
            <w:r>
              <w:rPr>
                <w:rFonts w:hint="eastAsia" w:ascii="宋体" w:hAnsi="宋体" w:eastAsia="宋体" w:cs="宋体"/>
                <w:sz w:val="21"/>
                <w:szCs w:val="21"/>
                <w:vertAlign w:val="baseline"/>
              </w:rPr>
              <w:t>分；一般可行得</w:t>
            </w:r>
            <w:r>
              <w:rPr>
                <w:rFonts w:hint="eastAsia" w:ascii="宋体" w:hAnsi="宋体" w:cs="宋体"/>
                <w:sz w:val="21"/>
                <w:szCs w:val="21"/>
                <w:vertAlign w:val="baseline"/>
                <w:lang w:val="en-US" w:eastAsia="zh-CN"/>
              </w:rPr>
              <w:t>5-8</w:t>
            </w:r>
            <w:r>
              <w:rPr>
                <w:rFonts w:hint="eastAsia" w:ascii="宋体" w:hAnsi="宋体" w:eastAsia="宋体" w:cs="宋体"/>
                <w:sz w:val="21"/>
                <w:szCs w:val="21"/>
                <w:vertAlign w:val="baseline"/>
              </w:rPr>
              <w:t>分；欠合理得</w:t>
            </w:r>
            <w:r>
              <w:rPr>
                <w:rFonts w:hint="eastAsia" w:ascii="宋体" w:hAnsi="宋体" w:cs="宋体"/>
                <w:sz w:val="21"/>
                <w:szCs w:val="21"/>
                <w:vertAlign w:val="baseline"/>
                <w:lang w:val="en-US" w:eastAsia="zh-CN"/>
              </w:rPr>
              <w:t>1-5</w:t>
            </w:r>
            <w:r>
              <w:rPr>
                <w:rFonts w:hint="eastAsia" w:ascii="宋体" w:hAnsi="宋体" w:eastAsia="宋体" w:cs="宋体"/>
                <w:sz w:val="21"/>
                <w:szCs w:val="21"/>
                <w:vertAlign w:val="baseli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6</w:t>
            </w:r>
          </w:p>
        </w:tc>
        <w:tc>
          <w:tcPr>
            <w:tcW w:w="747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r>
              <w:rPr>
                <w:rFonts w:hint="eastAsia" w:ascii="宋体" w:hAnsi="宋体" w:eastAsia="宋体" w:cs="宋体"/>
                <w:b/>
                <w:bCs/>
                <w:sz w:val="21"/>
                <w:szCs w:val="21"/>
                <w:vertAlign w:val="baseline"/>
              </w:rPr>
              <w:t>项目核心工作内容</w:t>
            </w:r>
            <w:r>
              <w:rPr>
                <w:rFonts w:hint="eastAsia" w:ascii="宋体" w:hAnsi="宋体" w:cs="宋体"/>
                <w:b/>
                <w:bCs/>
                <w:sz w:val="21"/>
                <w:szCs w:val="21"/>
                <w:vertAlign w:val="baseline"/>
                <w:lang w:eastAsia="zh-CN"/>
              </w:rPr>
              <w:t>：</w:t>
            </w:r>
            <w:r>
              <w:rPr>
                <w:rFonts w:hint="eastAsia" w:ascii="宋体" w:hAnsi="宋体" w:eastAsia="宋体" w:cs="宋体"/>
                <w:sz w:val="21"/>
                <w:szCs w:val="21"/>
                <w:vertAlign w:val="baseline"/>
                <w:lang w:val="en-US" w:eastAsia="zh-CN"/>
              </w:rPr>
              <w:t>须</w:t>
            </w:r>
            <w:r>
              <w:rPr>
                <w:rFonts w:hint="eastAsia" w:ascii="宋体" w:hAnsi="宋体" w:eastAsia="宋体" w:cs="宋体"/>
                <w:sz w:val="21"/>
                <w:szCs w:val="21"/>
                <w:vertAlign w:val="baseline"/>
              </w:rPr>
              <w:t>包含：咨询服务工作内容，核心内容任务分解。科学专业得</w:t>
            </w:r>
            <w:r>
              <w:rPr>
                <w:rFonts w:hint="eastAsia" w:ascii="宋体" w:hAnsi="宋体" w:eastAsia="宋体" w:cs="宋体"/>
                <w:sz w:val="21"/>
                <w:szCs w:val="21"/>
                <w:vertAlign w:val="baseline"/>
                <w:lang w:val="en-US" w:eastAsia="zh-CN"/>
              </w:rPr>
              <w:t>4</w:t>
            </w:r>
            <w:r>
              <w:rPr>
                <w:rFonts w:hint="eastAsia" w:ascii="宋体" w:hAnsi="宋体" w:eastAsia="宋体" w:cs="宋体"/>
                <w:sz w:val="21"/>
                <w:szCs w:val="21"/>
                <w:vertAlign w:val="baseline"/>
              </w:rPr>
              <w:t>-</w:t>
            </w:r>
            <w:r>
              <w:rPr>
                <w:rFonts w:hint="eastAsia" w:ascii="宋体" w:hAnsi="宋体" w:cs="宋体"/>
                <w:sz w:val="21"/>
                <w:szCs w:val="21"/>
                <w:vertAlign w:val="baseline"/>
                <w:lang w:val="en-US" w:eastAsia="zh-CN"/>
              </w:rPr>
              <w:t>6</w:t>
            </w:r>
            <w:r>
              <w:rPr>
                <w:rFonts w:hint="eastAsia" w:ascii="宋体" w:hAnsi="宋体" w:eastAsia="宋体" w:cs="宋体"/>
                <w:sz w:val="21"/>
                <w:szCs w:val="21"/>
                <w:vertAlign w:val="baseline"/>
              </w:rPr>
              <w:t>分；一般可行得</w:t>
            </w:r>
            <w:r>
              <w:rPr>
                <w:rFonts w:hint="eastAsia" w:ascii="宋体" w:hAnsi="宋体" w:eastAsia="宋体" w:cs="宋体"/>
                <w:sz w:val="21"/>
                <w:szCs w:val="21"/>
                <w:vertAlign w:val="baseline"/>
                <w:lang w:val="en-US" w:eastAsia="zh-CN"/>
              </w:rPr>
              <w:t>3</w:t>
            </w:r>
            <w:r>
              <w:rPr>
                <w:rFonts w:hint="eastAsia" w:ascii="宋体" w:hAnsi="宋体" w:eastAsia="宋体" w:cs="宋体"/>
                <w:sz w:val="21"/>
                <w:szCs w:val="21"/>
                <w:vertAlign w:val="baseline"/>
              </w:rPr>
              <w:t>分；欠合理得</w:t>
            </w:r>
            <w:r>
              <w:rPr>
                <w:rFonts w:hint="eastAsia" w:ascii="宋体" w:hAnsi="宋体" w:eastAsia="宋体" w:cs="宋体"/>
                <w:sz w:val="21"/>
                <w:szCs w:val="21"/>
                <w:vertAlign w:val="baseline"/>
                <w:lang w:val="en-US" w:eastAsia="zh-CN"/>
              </w:rPr>
              <w:t>2</w:t>
            </w:r>
            <w:r>
              <w:rPr>
                <w:rFonts w:hint="eastAsia" w:ascii="宋体" w:hAnsi="宋体" w:eastAsia="宋体" w:cs="宋体"/>
                <w:sz w:val="21"/>
                <w:szCs w:val="21"/>
                <w:vertAlign w:val="baseli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747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sz w:val="21"/>
                <w:szCs w:val="21"/>
                <w:vertAlign w:val="baseline"/>
                <w:lang w:val="en-US" w:eastAsia="zh-CN"/>
              </w:rPr>
            </w:pPr>
            <w:r>
              <w:rPr>
                <w:rFonts w:hint="eastAsia" w:ascii="宋体" w:hAnsi="宋体" w:cs="宋体"/>
                <w:b/>
                <w:bCs/>
                <w:sz w:val="21"/>
                <w:szCs w:val="21"/>
                <w:vertAlign w:val="baseline"/>
                <w:lang w:val="en-US" w:eastAsia="zh-CN"/>
              </w:rPr>
              <w:t>项目工作时间计划：</w:t>
            </w:r>
            <w:r>
              <w:rPr>
                <w:rFonts w:hint="eastAsia" w:ascii="宋体" w:hAnsi="宋体" w:cs="宋体"/>
                <w:sz w:val="21"/>
                <w:szCs w:val="21"/>
                <w:vertAlign w:val="baseline"/>
                <w:lang w:val="en-US" w:eastAsia="zh-CN"/>
              </w:rPr>
              <w:t>须包含：项目总体推进计划，各项核心工作节点计划。计划及措施可行得4分；一般可行得3分；欠合理得2分。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9" w:type="dxa"/>
            <w:vMerge w:val="continue"/>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rPr>
            </w:pPr>
          </w:p>
        </w:tc>
        <w:tc>
          <w:tcPr>
            <w:tcW w:w="4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w:t>
            </w:r>
          </w:p>
        </w:tc>
        <w:tc>
          <w:tcPr>
            <w:tcW w:w="7471" w:type="dxa"/>
            <w:gridSpan w:val="2"/>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eastAsia="zh-CN"/>
              </w:rPr>
            </w:pPr>
            <w:r>
              <w:rPr>
                <w:rFonts w:hint="eastAsia" w:ascii="宋体" w:hAnsi="宋体" w:eastAsia="宋体" w:cs="宋体"/>
                <w:b/>
                <w:bCs/>
                <w:sz w:val="21"/>
                <w:szCs w:val="21"/>
                <w:vertAlign w:val="baseline"/>
              </w:rPr>
              <w:t>项目咨询保障措施：</w:t>
            </w:r>
            <w:r>
              <w:rPr>
                <w:rFonts w:hint="eastAsia" w:ascii="宋体" w:hAnsi="宋体" w:eastAsia="宋体" w:cs="宋体"/>
                <w:sz w:val="21"/>
                <w:szCs w:val="21"/>
                <w:vertAlign w:val="baseline"/>
              </w:rPr>
              <w:t>须包含：项目咨询团队完整、专业齐全、工作质量</w:t>
            </w:r>
            <w:r>
              <w:rPr>
                <w:rFonts w:hint="eastAsia" w:ascii="宋体" w:hAnsi="宋体" w:cs="宋体"/>
                <w:sz w:val="21"/>
                <w:szCs w:val="21"/>
                <w:vertAlign w:val="baseline"/>
                <w:lang w:eastAsia="zh-CN"/>
              </w:rPr>
              <w:t>、</w:t>
            </w:r>
            <w:r>
              <w:rPr>
                <w:rFonts w:hint="eastAsia" w:ascii="宋体" w:hAnsi="宋体" w:eastAsia="宋体" w:cs="宋体"/>
                <w:sz w:val="21"/>
                <w:szCs w:val="21"/>
                <w:vertAlign w:val="baseline"/>
              </w:rPr>
              <w:t>配合协调。成果等的保障措施。目标明确措施可行得</w:t>
            </w:r>
            <w:r>
              <w:rPr>
                <w:rFonts w:hint="eastAsia" w:ascii="宋体" w:hAnsi="宋体" w:cs="宋体"/>
                <w:sz w:val="21"/>
                <w:szCs w:val="21"/>
                <w:vertAlign w:val="baseline"/>
                <w:lang w:val="en-US" w:eastAsia="zh-CN"/>
              </w:rPr>
              <w:t>4</w:t>
            </w:r>
            <w:r>
              <w:rPr>
                <w:rFonts w:hint="eastAsia" w:ascii="宋体" w:hAnsi="宋体" w:eastAsia="宋体" w:cs="宋体"/>
                <w:sz w:val="21"/>
                <w:szCs w:val="21"/>
                <w:vertAlign w:val="baseline"/>
              </w:rPr>
              <w:t>分；一般可行得</w:t>
            </w:r>
            <w:r>
              <w:rPr>
                <w:rFonts w:hint="eastAsia" w:ascii="宋体" w:hAnsi="宋体" w:cs="宋体"/>
                <w:sz w:val="21"/>
                <w:szCs w:val="21"/>
                <w:vertAlign w:val="baseline"/>
                <w:lang w:val="en-US" w:eastAsia="zh-CN"/>
              </w:rPr>
              <w:t>3</w:t>
            </w:r>
            <w:r>
              <w:rPr>
                <w:rFonts w:hint="eastAsia" w:ascii="宋体" w:hAnsi="宋体" w:eastAsia="宋体" w:cs="宋体"/>
                <w:sz w:val="21"/>
                <w:szCs w:val="21"/>
                <w:vertAlign w:val="baseline"/>
              </w:rPr>
              <w:t>分；欠合理得</w:t>
            </w:r>
            <w:r>
              <w:rPr>
                <w:rFonts w:hint="eastAsia" w:ascii="宋体" w:hAnsi="宋体" w:cs="宋体"/>
                <w:sz w:val="21"/>
                <w:szCs w:val="21"/>
                <w:vertAlign w:val="baseline"/>
                <w:lang w:val="en-US" w:eastAsia="zh-CN"/>
              </w:rPr>
              <w:t>2</w:t>
            </w:r>
            <w:r>
              <w:rPr>
                <w:rFonts w:hint="eastAsia" w:ascii="宋体" w:hAnsi="宋体" w:eastAsia="宋体" w:cs="宋体"/>
                <w:sz w:val="21"/>
                <w:szCs w:val="21"/>
                <w:vertAlign w:val="baseline"/>
              </w:rPr>
              <w:t>分</w:t>
            </w:r>
            <w:r>
              <w:rPr>
                <w:rFonts w:hint="eastAsia" w:ascii="宋体" w:hAnsi="宋体" w:cs="宋体"/>
                <w:sz w:val="21"/>
                <w:szCs w:val="21"/>
                <w:vertAlign w:val="baseline"/>
                <w:lang w:eastAsia="zh-CN"/>
              </w:rPr>
              <w:t>。</w:t>
            </w:r>
          </w:p>
        </w:tc>
      </w:tr>
    </w:tbl>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sz w:val="21"/>
          <w:szCs w:val="21"/>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cs="宋体"/>
          <w:sz w:val="21"/>
          <w:szCs w:val="21"/>
          <w:lang w:val="en-US" w:eastAsia="zh-CN"/>
        </w:rPr>
        <w:t>单位及人员能力评审</w:t>
      </w:r>
      <w:r>
        <w:rPr>
          <w:rFonts w:hint="eastAsia" w:ascii="宋体" w:hAnsi="宋体" w:eastAsia="宋体" w:cs="宋体"/>
          <w:sz w:val="21"/>
          <w:szCs w:val="21"/>
        </w:rPr>
        <w:t>(满分</w:t>
      </w:r>
      <w:r>
        <w:rPr>
          <w:rFonts w:hint="eastAsia" w:ascii="宋体" w:hAnsi="宋体" w:eastAsia="宋体" w:cs="宋体"/>
          <w:sz w:val="21"/>
          <w:szCs w:val="21"/>
          <w:lang w:val="en-US" w:eastAsia="zh-CN"/>
        </w:rPr>
        <w:t>20</w:t>
      </w:r>
      <w:r>
        <w:rPr>
          <w:rFonts w:hint="eastAsia" w:ascii="宋体" w:hAnsi="宋体" w:eastAsia="宋体" w:cs="宋体"/>
          <w:sz w:val="21"/>
          <w:szCs w:val="21"/>
        </w:rPr>
        <w:t>分)</w:t>
      </w:r>
    </w:p>
    <w:tbl>
      <w:tblPr>
        <w:tblStyle w:val="30"/>
        <w:tblW w:w="8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80"/>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vMerge w:val="restart"/>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lang w:val="en-US" w:eastAsia="zh-CN"/>
              </w:rPr>
              <w:t>单位及人员能力</w:t>
            </w:r>
          </w:p>
        </w:tc>
        <w:tc>
          <w:tcPr>
            <w:tcW w:w="780"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分值</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7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cs="宋体"/>
                <w:sz w:val="21"/>
                <w:szCs w:val="21"/>
                <w:vertAlign w:val="baseline"/>
                <w:lang w:val="en-US" w:eastAsia="zh-CN"/>
              </w:rPr>
            </w:pPr>
          </w:p>
        </w:tc>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单位业绩：</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近2年</w:t>
            </w:r>
            <w:r>
              <w:rPr>
                <w:rFonts w:hint="eastAsia" w:ascii="宋体" w:hAnsi="宋体" w:eastAsia="宋体" w:cs="宋体"/>
                <w:sz w:val="21"/>
                <w:szCs w:val="21"/>
                <w:vertAlign w:val="baseline"/>
                <w:lang w:val="en-US" w:eastAsia="zh-CN"/>
              </w:rPr>
              <w:t>有一个铁路（或轨道交通）工程项目PPP（或BOT）实施方案和协议咨询业绩的得2分，最高得6分；</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近2年</w:t>
            </w:r>
            <w:r>
              <w:rPr>
                <w:rFonts w:hint="eastAsia" w:ascii="宋体" w:hAnsi="宋体" w:eastAsia="宋体" w:cs="宋体"/>
                <w:sz w:val="21"/>
                <w:szCs w:val="21"/>
                <w:vertAlign w:val="baseline"/>
                <w:lang w:val="en-US" w:eastAsia="zh-CN"/>
              </w:rPr>
              <w:t>有一个公路工程项目PPP（或BOT）实施方案和协议咨询业绩的得2分，最高得4分。</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本项最多计10分。</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注：1、以上业绩均需项目落地且至少已经进入建设施工阶段；</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20" w:firstLineChars="200"/>
              <w:jc w:val="both"/>
              <w:textAlignment w:val="auto"/>
              <w:rPr>
                <w:rFonts w:hint="default"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2、业绩需同时包含实施方案和协议咨询两项，否则不予认可。</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3、投标文件中须提供咨询服务合同、项目落地且至少已进入建设施工阶段的相关证明彩色复印件（均须加盖公章）。未按要求提供证明材料的不得分。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780"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eastAsia" w:ascii="宋体" w:hAnsi="宋体" w:cs="宋体"/>
                <w:sz w:val="21"/>
                <w:szCs w:val="21"/>
                <w:vertAlign w:val="baseline"/>
                <w:lang w:val="en-US" w:eastAsia="zh-CN"/>
              </w:rPr>
            </w:pPr>
          </w:p>
        </w:tc>
        <w:tc>
          <w:tcPr>
            <w:tcW w:w="78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项目负责人业绩：</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每担任一个铁路（或轨道交通）工程咨询服务【PPP（或BOT）实施方案和协议咨询】项目负责人，得2分，最高得6分；</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每担任一个公路工程咨询服务【PPP（或BOT）实施方案和协议咨询】项目负责人，得2分，最高得4分；</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本项最多计10分。</w:t>
            </w:r>
          </w:p>
          <w:p>
            <w:pPr>
              <w:keepNext w:val="0"/>
              <w:keepLines w:val="0"/>
              <w:pageBreakBefore w:val="0"/>
              <w:widowControl w:val="0"/>
              <w:numPr>
                <w:ilvl w:val="0"/>
                <w:numId w:val="0"/>
              </w:numPr>
              <w:kinsoku/>
              <w:wordWrap/>
              <w:overflowPunct/>
              <w:topLinePunct w:val="0"/>
              <w:autoSpaceDE/>
              <w:autoSpaceDN/>
              <w:bidi w:val="0"/>
              <w:adjustRightInd w:val="0"/>
              <w:snapToGrid w:val="0"/>
              <w:jc w:val="both"/>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注：1、以上业绩均需项目落地且至少已经进入建设施工阶段；</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20" w:firstLineChars="200"/>
              <w:jc w:val="both"/>
              <w:textAlignment w:val="auto"/>
              <w:rPr>
                <w:rFonts w:hint="default" w:ascii="宋体" w:hAnsi="宋体" w:eastAsia="宋体" w:cs="宋体"/>
                <w:sz w:val="21"/>
                <w:szCs w:val="21"/>
                <w:highlight w:val="yellow"/>
                <w:vertAlign w:val="baseline"/>
                <w:lang w:val="en-US" w:eastAsia="zh-CN"/>
              </w:rPr>
            </w:pPr>
            <w:r>
              <w:rPr>
                <w:rFonts w:hint="eastAsia" w:ascii="宋体" w:hAnsi="宋体" w:eastAsia="宋体" w:cs="宋体"/>
                <w:sz w:val="21"/>
                <w:szCs w:val="21"/>
                <w:highlight w:val="none"/>
                <w:vertAlign w:val="baseline"/>
                <w:lang w:val="en-US" w:eastAsia="zh-CN"/>
              </w:rPr>
              <w:t>2、业绩需同时包含实施方案和协议咨询两项，否则不予认可。</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20" w:firstLineChars="200"/>
              <w:jc w:val="both"/>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3、投标文件中须提供咨询服务合同、项目落地且至少已进入建设施工阶段的相关证明彩色复印件（均须加盖公章）。未按要求提供证明材料的不得分。</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auto"/>
        <w:ind w:firstLine="630" w:firstLineChars="30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eastAsia="宋体" w:cs="宋体"/>
          <w:sz w:val="21"/>
          <w:szCs w:val="21"/>
        </w:rPr>
        <w:t>报价评审(满分</w:t>
      </w:r>
      <w:r>
        <w:rPr>
          <w:rFonts w:hint="eastAsia" w:ascii="宋体" w:hAnsi="宋体" w:eastAsia="宋体" w:cs="宋体"/>
          <w:sz w:val="21"/>
          <w:szCs w:val="21"/>
          <w:lang w:val="en-US" w:eastAsia="zh-CN"/>
        </w:rPr>
        <w:t>30</w:t>
      </w:r>
      <w:r>
        <w:rPr>
          <w:rFonts w:hint="eastAsia" w:ascii="宋体" w:hAnsi="宋体" w:eastAsia="宋体" w:cs="宋体"/>
          <w:sz w:val="21"/>
          <w:szCs w:val="21"/>
        </w:rPr>
        <w:t>分)：</w:t>
      </w:r>
    </w:p>
    <w:tbl>
      <w:tblPr>
        <w:tblStyle w:val="29"/>
        <w:tblW w:w="83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7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1204" w:type="dxa"/>
            <w:noWrap w:val="0"/>
            <w:vAlign w:val="center"/>
          </w:tcPr>
          <w:p>
            <w:pPr>
              <w:spacing w:line="360" w:lineRule="auto"/>
              <w:jc w:val="center"/>
              <w:rPr>
                <w:rFonts w:hint="eastAsia" w:ascii="宋体" w:hAnsi="宋体"/>
                <w:sz w:val="21"/>
                <w:szCs w:val="21"/>
                <w:highlight w:val="yellow"/>
              </w:rPr>
            </w:pPr>
            <w:r>
              <w:rPr>
                <w:rFonts w:ascii="宋体" w:hAnsi="宋体" w:cs="宋体"/>
                <w:spacing w:val="-1"/>
                <w:sz w:val="21"/>
                <w:szCs w:val="21"/>
              </w:rPr>
              <w:t>评标基准价计</w:t>
            </w:r>
            <w:r>
              <w:rPr>
                <w:rFonts w:ascii="宋体" w:hAnsi="宋体" w:cs="宋体"/>
                <w:sz w:val="21"/>
                <w:szCs w:val="21"/>
              </w:rPr>
              <w:t>算方法</w:t>
            </w:r>
          </w:p>
        </w:tc>
        <w:tc>
          <w:tcPr>
            <w:tcW w:w="7150" w:type="dxa"/>
            <w:noWrap w:val="0"/>
            <w:vAlign w:val="center"/>
          </w:tcPr>
          <w:p>
            <w:pPr>
              <w:pStyle w:val="85"/>
              <w:spacing w:before="32" w:line="297" w:lineRule="auto"/>
              <w:ind w:right="1216"/>
              <w:rPr>
                <w:rFonts w:ascii="宋体" w:hAnsi="宋体" w:eastAsia="宋体" w:cs="宋体"/>
                <w:spacing w:val="21"/>
                <w:sz w:val="21"/>
                <w:szCs w:val="21"/>
                <w:lang w:eastAsia="zh-CN"/>
              </w:rPr>
            </w:pPr>
            <w:r>
              <w:rPr>
                <w:rFonts w:ascii="宋体" w:hAnsi="宋体" w:eastAsia="宋体" w:cs="宋体"/>
                <w:spacing w:val="-1"/>
                <w:sz w:val="21"/>
                <w:szCs w:val="21"/>
                <w:lang w:eastAsia="zh-CN"/>
              </w:rPr>
              <w:t>评标基准价的计算：</w:t>
            </w:r>
            <w:r>
              <w:rPr>
                <w:rFonts w:ascii="宋体" w:hAnsi="宋体" w:eastAsia="宋体" w:cs="宋体"/>
                <w:spacing w:val="21"/>
                <w:sz w:val="21"/>
                <w:szCs w:val="21"/>
                <w:lang w:eastAsia="zh-CN"/>
              </w:rPr>
              <w:t xml:space="preserve"> </w:t>
            </w:r>
          </w:p>
          <w:p>
            <w:pPr>
              <w:pStyle w:val="85"/>
              <w:spacing w:before="32" w:line="297" w:lineRule="auto"/>
              <w:ind w:left="522" w:right="1216"/>
              <w:rPr>
                <w:rFonts w:ascii="宋体" w:hAnsi="宋体" w:eastAsia="宋体" w:cs="宋体"/>
                <w:sz w:val="21"/>
                <w:szCs w:val="21"/>
                <w:highlight w:val="none"/>
                <w:lang w:eastAsia="zh-CN"/>
              </w:rPr>
            </w:pPr>
            <w:r>
              <w:rPr>
                <w:rFonts w:ascii="宋体" w:hAnsi="宋体" w:eastAsia="宋体" w:cs="宋体"/>
                <w:spacing w:val="-2"/>
                <w:sz w:val="21"/>
                <w:szCs w:val="21"/>
                <w:highlight w:val="none"/>
                <w:lang w:eastAsia="zh-CN"/>
              </w:rPr>
              <w:t>在开标现场，招标人将当场计算并宣布评标基准价。</w:t>
            </w:r>
          </w:p>
          <w:p>
            <w:pPr>
              <w:pStyle w:val="85"/>
              <w:spacing w:before="13" w:line="281" w:lineRule="auto"/>
              <w:ind w:right="3736"/>
              <w:rPr>
                <w:rFonts w:ascii="宋体" w:hAnsi="宋体" w:eastAsia="宋体" w:cs="宋体"/>
                <w:spacing w:val="29"/>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spacing w:val="-2"/>
                <w:sz w:val="21"/>
                <w:szCs w:val="21"/>
                <w:lang w:eastAsia="zh-CN"/>
              </w:rPr>
              <w:t>1</w:t>
            </w:r>
            <w:r>
              <w:rPr>
                <w:rFonts w:ascii="宋体" w:hAnsi="宋体" w:eastAsia="宋体" w:cs="宋体"/>
                <w:spacing w:val="-2"/>
                <w:sz w:val="21"/>
                <w:szCs w:val="21"/>
                <w:lang w:eastAsia="zh-CN"/>
              </w:rPr>
              <w:t>）评标价的确定：</w:t>
            </w:r>
            <w:r>
              <w:rPr>
                <w:rFonts w:ascii="宋体" w:hAnsi="宋体" w:eastAsia="宋体" w:cs="宋体"/>
                <w:spacing w:val="29"/>
                <w:sz w:val="21"/>
                <w:szCs w:val="21"/>
                <w:lang w:eastAsia="zh-CN"/>
              </w:rPr>
              <w:t xml:space="preserve"> </w:t>
            </w:r>
          </w:p>
          <w:p>
            <w:pPr>
              <w:pStyle w:val="85"/>
              <w:spacing w:before="13" w:line="281" w:lineRule="auto"/>
              <w:ind w:left="522" w:right="3736"/>
              <w:rPr>
                <w:rFonts w:ascii="宋体" w:hAnsi="宋体" w:eastAsia="宋体" w:cs="宋体"/>
                <w:sz w:val="21"/>
                <w:szCs w:val="21"/>
                <w:lang w:eastAsia="zh-CN"/>
              </w:rPr>
            </w:pPr>
            <w:r>
              <w:rPr>
                <w:rFonts w:ascii="宋体" w:hAnsi="宋体" w:eastAsia="宋体" w:cs="宋体"/>
                <w:spacing w:val="-2"/>
                <w:sz w:val="21"/>
                <w:szCs w:val="21"/>
                <w:lang w:eastAsia="zh-CN"/>
              </w:rPr>
              <w:t>评标价＝投标函文字报价</w:t>
            </w:r>
          </w:p>
          <w:p>
            <w:pPr>
              <w:pStyle w:val="85"/>
              <w:tabs>
                <w:tab w:val="left" w:pos="2413"/>
              </w:tabs>
              <w:spacing w:before="32" w:line="295" w:lineRule="auto"/>
              <w:ind w:right="1513"/>
              <w:rPr>
                <w:rFonts w:hint="eastAsia" w:ascii="宋体" w:hAnsi="宋体" w:eastAsia="宋体" w:cs="宋体"/>
                <w:spacing w:val="-2"/>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spacing w:val="-2"/>
                <w:sz w:val="21"/>
                <w:szCs w:val="21"/>
                <w:lang w:eastAsia="zh-CN"/>
              </w:rPr>
              <w:t>2</w:t>
            </w:r>
            <w:r>
              <w:rPr>
                <w:rFonts w:ascii="宋体" w:hAnsi="宋体" w:eastAsia="宋体" w:cs="宋体"/>
                <w:spacing w:val="-2"/>
                <w:sz w:val="21"/>
                <w:szCs w:val="21"/>
                <w:lang w:eastAsia="zh-CN"/>
              </w:rPr>
              <w:t>）评标价平均值的计算：</w:t>
            </w:r>
          </w:p>
          <w:p>
            <w:pPr>
              <w:pStyle w:val="85"/>
              <w:spacing w:before="25" w:line="288" w:lineRule="auto"/>
              <w:ind w:left="102" w:right="98" w:firstLine="420"/>
              <w:jc w:val="both"/>
              <w:rPr>
                <w:rFonts w:ascii="宋体" w:hAnsi="宋体" w:eastAsia="宋体" w:cs="宋体"/>
                <w:sz w:val="21"/>
                <w:szCs w:val="21"/>
                <w:lang w:eastAsia="zh-CN"/>
              </w:rPr>
            </w:pPr>
            <w:r>
              <w:rPr>
                <w:rFonts w:ascii="宋体" w:hAnsi="宋体" w:eastAsia="宋体" w:cs="宋体"/>
                <w:spacing w:val="-4"/>
                <w:sz w:val="21"/>
                <w:szCs w:val="21"/>
                <w:lang w:eastAsia="zh-CN"/>
              </w:rPr>
              <w:t>除</w:t>
            </w:r>
            <w:r>
              <w:rPr>
                <w:rFonts w:ascii="宋体" w:hAnsi="宋体" w:eastAsia="宋体" w:cs="宋体"/>
                <w:spacing w:val="-2"/>
                <w:sz w:val="21"/>
                <w:szCs w:val="21"/>
                <w:lang w:eastAsia="zh-CN"/>
              </w:rPr>
              <w:t>被宣</w:t>
            </w:r>
            <w:r>
              <w:rPr>
                <w:rFonts w:ascii="宋体" w:hAnsi="宋体" w:eastAsia="宋体" w:cs="宋体"/>
                <w:spacing w:val="1"/>
                <w:sz w:val="21"/>
                <w:szCs w:val="21"/>
                <w:lang w:eastAsia="zh-CN"/>
              </w:rPr>
              <w:t>布为不进入评标基准价计算的投标报价之外，所有投标人的评标价去</w:t>
            </w:r>
            <w:r>
              <w:rPr>
                <w:rFonts w:ascii="宋体" w:hAnsi="宋体" w:eastAsia="宋体" w:cs="宋体"/>
                <w:sz w:val="21"/>
                <w:szCs w:val="21"/>
                <w:lang w:eastAsia="zh-CN"/>
              </w:rPr>
              <w:t>掉一个最高值和一个最低值后的算术平均值即为评标价平均值（如果</w:t>
            </w:r>
            <w:r>
              <w:rPr>
                <w:rFonts w:ascii="宋体" w:hAnsi="宋体" w:eastAsia="宋体" w:cs="宋体"/>
                <w:spacing w:val="-2"/>
                <w:sz w:val="21"/>
                <w:szCs w:val="21"/>
                <w:lang w:eastAsia="zh-CN"/>
              </w:rPr>
              <w:t>参与评标价平均值计算的有效投标人少于</w:t>
            </w:r>
            <w:r>
              <w:rPr>
                <w:rFonts w:ascii="Times New Roman" w:hAnsi="Times New Roman" w:eastAsia="Times New Roman"/>
                <w:sz w:val="21"/>
                <w:szCs w:val="21"/>
                <w:lang w:eastAsia="zh-CN"/>
              </w:rPr>
              <w:t>5</w:t>
            </w:r>
            <w:r>
              <w:rPr>
                <w:rFonts w:ascii="宋体" w:hAnsi="宋体" w:eastAsia="宋体" w:cs="宋体"/>
                <w:spacing w:val="-2"/>
                <w:sz w:val="21"/>
                <w:szCs w:val="21"/>
                <w:lang w:eastAsia="zh-CN"/>
              </w:rPr>
              <w:t>家时，则计算评标价平均</w:t>
            </w:r>
            <w:r>
              <w:rPr>
                <w:rFonts w:ascii="宋体" w:hAnsi="宋体" w:eastAsia="宋体" w:cs="宋体"/>
                <w:sz w:val="21"/>
                <w:szCs w:val="21"/>
                <w:lang w:eastAsia="zh-CN"/>
              </w:rPr>
              <w:t>值时</w:t>
            </w:r>
            <w:r>
              <w:rPr>
                <w:rFonts w:ascii="宋体" w:hAnsi="宋体" w:eastAsia="宋体" w:cs="宋体"/>
                <w:spacing w:val="-3"/>
                <w:sz w:val="21"/>
                <w:szCs w:val="21"/>
                <w:lang w:eastAsia="zh-CN"/>
              </w:rPr>
              <w:t>不</w:t>
            </w:r>
            <w:r>
              <w:rPr>
                <w:rFonts w:ascii="宋体" w:hAnsi="宋体" w:eastAsia="宋体" w:cs="宋体"/>
                <w:sz w:val="21"/>
                <w:szCs w:val="21"/>
                <w:lang w:eastAsia="zh-CN"/>
              </w:rPr>
              <w:t>去</w:t>
            </w:r>
            <w:r>
              <w:rPr>
                <w:rFonts w:ascii="宋体" w:hAnsi="宋体" w:eastAsia="宋体" w:cs="宋体"/>
                <w:spacing w:val="-3"/>
                <w:sz w:val="21"/>
                <w:szCs w:val="21"/>
                <w:lang w:eastAsia="zh-CN"/>
              </w:rPr>
              <w:t>掉</w:t>
            </w:r>
            <w:r>
              <w:rPr>
                <w:rFonts w:ascii="宋体" w:hAnsi="宋体" w:eastAsia="宋体" w:cs="宋体"/>
                <w:sz w:val="21"/>
                <w:szCs w:val="21"/>
                <w:lang w:eastAsia="zh-CN"/>
              </w:rPr>
              <w:t>最</w:t>
            </w:r>
            <w:r>
              <w:rPr>
                <w:rFonts w:ascii="宋体" w:hAnsi="宋体" w:eastAsia="宋体" w:cs="宋体"/>
                <w:spacing w:val="-3"/>
                <w:sz w:val="21"/>
                <w:szCs w:val="21"/>
                <w:lang w:eastAsia="zh-CN"/>
              </w:rPr>
              <w:t>高</w:t>
            </w:r>
            <w:r>
              <w:rPr>
                <w:rFonts w:ascii="宋体" w:hAnsi="宋体" w:eastAsia="宋体" w:cs="宋体"/>
                <w:sz w:val="21"/>
                <w:szCs w:val="21"/>
                <w:lang w:eastAsia="zh-CN"/>
              </w:rPr>
              <w:t>值</w:t>
            </w:r>
            <w:r>
              <w:rPr>
                <w:rFonts w:ascii="宋体" w:hAnsi="宋体" w:eastAsia="宋体" w:cs="宋体"/>
                <w:spacing w:val="-3"/>
                <w:sz w:val="21"/>
                <w:szCs w:val="21"/>
                <w:lang w:eastAsia="zh-CN"/>
              </w:rPr>
              <w:t>和</w:t>
            </w:r>
            <w:r>
              <w:rPr>
                <w:rFonts w:ascii="宋体" w:hAnsi="宋体" w:eastAsia="宋体" w:cs="宋体"/>
                <w:sz w:val="21"/>
                <w:szCs w:val="21"/>
                <w:lang w:eastAsia="zh-CN"/>
              </w:rPr>
              <w:t>最</w:t>
            </w:r>
            <w:r>
              <w:rPr>
                <w:rFonts w:ascii="宋体" w:hAnsi="宋体" w:eastAsia="宋体" w:cs="宋体"/>
                <w:spacing w:val="-3"/>
                <w:sz w:val="21"/>
                <w:szCs w:val="21"/>
                <w:lang w:eastAsia="zh-CN"/>
              </w:rPr>
              <w:t>低</w:t>
            </w:r>
            <w:r>
              <w:rPr>
                <w:rFonts w:ascii="宋体" w:hAnsi="宋体" w:eastAsia="宋体" w:cs="宋体"/>
                <w:sz w:val="21"/>
                <w:szCs w:val="21"/>
                <w:lang w:eastAsia="zh-CN"/>
              </w:rPr>
              <w:t>值</w:t>
            </w:r>
            <w:r>
              <w:rPr>
                <w:rFonts w:ascii="宋体" w:hAnsi="宋体" w:eastAsia="宋体" w:cs="宋体"/>
                <w:spacing w:val="-106"/>
                <w:sz w:val="21"/>
                <w:szCs w:val="21"/>
                <w:lang w:eastAsia="zh-CN"/>
              </w:rPr>
              <w:t>）</w:t>
            </w:r>
          </w:p>
          <w:p>
            <w:pPr>
              <w:pStyle w:val="85"/>
              <w:tabs>
                <w:tab w:val="left" w:pos="3570"/>
              </w:tabs>
              <w:spacing w:before="23" w:line="291" w:lineRule="auto"/>
              <w:ind w:left="522" w:right="105"/>
              <w:rPr>
                <w:rFonts w:ascii="宋体" w:hAnsi="宋体" w:eastAsia="宋体" w:cs="宋体"/>
                <w:spacing w:val="23"/>
                <w:sz w:val="21"/>
                <w:szCs w:val="21"/>
                <w:lang w:eastAsia="zh-CN"/>
              </w:rPr>
            </w:pPr>
            <w:r>
              <w:rPr>
                <w:rFonts w:ascii="宋体" w:hAnsi="宋体" w:eastAsia="宋体" w:cs="宋体"/>
                <w:spacing w:val="-2"/>
                <w:sz w:val="21"/>
                <w:szCs w:val="21"/>
                <w:lang w:eastAsia="zh-CN"/>
              </w:rPr>
              <w:t>（</w:t>
            </w:r>
            <w:r>
              <w:rPr>
                <w:rFonts w:ascii="Times New Roman" w:hAnsi="Times New Roman" w:eastAsia="Times New Roman"/>
                <w:spacing w:val="-2"/>
                <w:sz w:val="21"/>
                <w:szCs w:val="21"/>
                <w:lang w:eastAsia="zh-CN"/>
              </w:rPr>
              <w:t>3</w:t>
            </w:r>
            <w:r>
              <w:rPr>
                <w:rFonts w:ascii="宋体" w:hAnsi="宋体" w:eastAsia="宋体" w:cs="宋体"/>
                <w:spacing w:val="-2"/>
                <w:sz w:val="21"/>
                <w:szCs w:val="21"/>
                <w:lang w:eastAsia="zh-CN"/>
              </w:rPr>
              <w:t>）评标基准价的确定：</w:t>
            </w:r>
          </w:p>
          <w:p>
            <w:pPr>
              <w:pStyle w:val="85"/>
              <w:spacing w:before="25" w:line="288" w:lineRule="auto"/>
              <w:ind w:left="102" w:right="98" w:firstLine="420" w:firstLineChars="0"/>
              <w:jc w:val="both"/>
              <w:rPr>
                <w:rFonts w:hint="eastAsia" w:ascii="宋体" w:hAnsi="宋体" w:eastAsia="宋体" w:cs="宋体"/>
                <w:spacing w:val="-2"/>
                <w:sz w:val="21"/>
                <w:szCs w:val="21"/>
                <w:highlight w:val="none"/>
                <w:lang w:eastAsia="zh-CN"/>
              </w:rPr>
            </w:pPr>
            <w:r>
              <w:rPr>
                <w:rFonts w:ascii="宋体" w:hAnsi="宋体" w:eastAsia="宋体" w:cs="宋体"/>
                <w:spacing w:val="-2"/>
                <w:sz w:val="21"/>
                <w:szCs w:val="21"/>
                <w:highlight w:val="none"/>
                <w:lang w:eastAsia="zh-CN"/>
              </w:rPr>
              <w:t>将评</w:t>
            </w:r>
            <w:r>
              <w:rPr>
                <w:rFonts w:ascii="宋体" w:hAnsi="宋体" w:eastAsia="宋体" w:cs="宋体"/>
                <w:spacing w:val="1"/>
                <w:sz w:val="21"/>
                <w:szCs w:val="21"/>
                <w:highlight w:val="none"/>
                <w:lang w:eastAsia="zh-CN"/>
              </w:rPr>
              <w:t>标价</w:t>
            </w:r>
            <w:r>
              <w:rPr>
                <w:rFonts w:ascii="宋体" w:hAnsi="宋体" w:eastAsia="宋体" w:cs="宋体"/>
                <w:spacing w:val="-2"/>
                <w:sz w:val="21"/>
                <w:szCs w:val="21"/>
                <w:highlight w:val="none"/>
                <w:lang w:eastAsia="zh-CN"/>
              </w:rPr>
              <w:t>平均值直接作为评标基准价。</w:t>
            </w:r>
          </w:p>
          <w:p>
            <w:pPr>
              <w:pStyle w:val="85"/>
              <w:spacing w:before="25" w:line="288" w:lineRule="auto"/>
              <w:ind w:left="102" w:right="98" w:firstLine="420"/>
              <w:jc w:val="both"/>
              <w:rPr>
                <w:rFonts w:ascii="宋体" w:hAnsi="宋体" w:eastAsia="宋体" w:cs="宋体"/>
                <w:b/>
                <w:bCs/>
                <w:spacing w:val="-1"/>
                <w:sz w:val="21"/>
                <w:szCs w:val="21"/>
                <w:lang w:eastAsia="zh-CN"/>
              </w:rPr>
            </w:pPr>
            <w:r>
              <w:rPr>
                <w:rFonts w:ascii="宋体" w:hAnsi="宋体" w:eastAsia="宋体" w:cs="宋体"/>
                <w:spacing w:val="1"/>
                <w:sz w:val="21"/>
                <w:szCs w:val="21"/>
                <w:highlight w:val="none"/>
                <w:lang w:eastAsia="zh-CN"/>
              </w:rPr>
              <w:t>在评标过程中，评标委员会应对招标人计算的评标基准价进行复</w:t>
            </w:r>
            <w:r>
              <w:rPr>
                <w:rFonts w:ascii="宋体" w:hAnsi="宋体" w:eastAsia="宋体" w:cs="宋体"/>
                <w:spacing w:val="-3"/>
                <w:sz w:val="21"/>
                <w:szCs w:val="21"/>
                <w:highlight w:val="none"/>
                <w:lang w:eastAsia="zh-CN"/>
              </w:rPr>
              <w:t>核，存在计算错误的应予以修正并在评标报告中作出说明。除此之外，</w:t>
            </w:r>
            <w:r>
              <w:rPr>
                <w:rFonts w:ascii="宋体" w:hAnsi="宋体" w:eastAsia="宋体" w:cs="宋体"/>
                <w:spacing w:val="-2"/>
                <w:sz w:val="21"/>
                <w:szCs w:val="21"/>
                <w:highlight w:val="none"/>
                <w:lang w:eastAsia="zh-CN"/>
              </w:rPr>
              <w:t>评标基准价在整个评标期间保持不变，不随任何因素发生变化</w:t>
            </w:r>
            <w:r>
              <w:rPr>
                <w:rFonts w:hint="eastAsia" w:ascii="宋体" w:hAnsi="宋体" w:eastAsia="宋体" w:cs="宋体"/>
                <w:spacing w:val="-2"/>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204" w:type="dxa"/>
            <w:noWrap w:val="0"/>
            <w:vAlign w:val="center"/>
          </w:tcPr>
          <w:p>
            <w:pPr>
              <w:pStyle w:val="85"/>
              <w:spacing w:before="41"/>
              <w:jc w:val="center"/>
              <w:rPr>
                <w:rFonts w:ascii="宋体" w:hAnsi="宋体" w:cs="宋体"/>
                <w:spacing w:val="-1"/>
                <w:sz w:val="21"/>
                <w:szCs w:val="21"/>
                <w:lang w:eastAsia="zh-CN"/>
              </w:rPr>
            </w:pPr>
            <w:r>
              <w:rPr>
                <w:rFonts w:ascii="宋体" w:hAnsi="宋体" w:eastAsia="宋体" w:cs="宋体"/>
                <w:spacing w:val="-1"/>
                <w:sz w:val="21"/>
                <w:szCs w:val="21"/>
                <w:lang w:eastAsia="zh-CN"/>
              </w:rPr>
              <w:t>评标价的偏差率计算公式</w:t>
            </w:r>
          </w:p>
        </w:tc>
        <w:tc>
          <w:tcPr>
            <w:tcW w:w="7150" w:type="dxa"/>
            <w:noWrap w:val="0"/>
            <w:vAlign w:val="center"/>
          </w:tcPr>
          <w:p>
            <w:pPr>
              <w:pStyle w:val="85"/>
              <w:spacing w:before="32" w:line="297" w:lineRule="auto"/>
              <w:ind w:right="1216"/>
              <w:rPr>
                <w:rFonts w:ascii="宋体" w:hAnsi="宋体" w:eastAsia="宋体" w:cs="宋体"/>
                <w:spacing w:val="27"/>
                <w:sz w:val="21"/>
                <w:szCs w:val="21"/>
                <w:lang w:eastAsia="zh-CN"/>
              </w:rPr>
            </w:pPr>
            <w:r>
              <w:rPr>
                <w:rFonts w:ascii="宋体" w:hAnsi="宋体" w:eastAsia="宋体" w:cs="宋体"/>
                <w:spacing w:val="-1"/>
                <w:sz w:val="21"/>
                <w:szCs w:val="21"/>
                <w:lang w:eastAsia="zh-CN"/>
              </w:rPr>
              <w:t>偏差率</w:t>
            </w:r>
            <w:r>
              <w:rPr>
                <w:rFonts w:ascii="Times New Roman" w:hAnsi="Times New Roman" w:eastAsia="Times New Roman"/>
                <w:spacing w:val="-1"/>
                <w:sz w:val="21"/>
                <w:szCs w:val="21"/>
                <w:lang w:eastAsia="zh-CN"/>
              </w:rPr>
              <w:t xml:space="preserve">=100% </w:t>
            </w:r>
            <w:r>
              <w:rPr>
                <w:rFonts w:ascii="Times New Roman" w:hAnsi="Times New Roman" w:eastAsia="Times New Roman"/>
                <w:spacing w:val="-2"/>
                <w:sz w:val="21"/>
                <w:szCs w:val="21"/>
                <w:lang w:eastAsia="zh-CN"/>
              </w:rPr>
              <w:t>×</w:t>
            </w:r>
            <w:r>
              <w:rPr>
                <w:rFonts w:ascii="宋体" w:hAnsi="宋体" w:eastAsia="宋体" w:cs="宋体"/>
                <w:spacing w:val="-2"/>
                <w:sz w:val="21"/>
                <w:szCs w:val="21"/>
                <w:lang w:eastAsia="zh-CN"/>
              </w:rPr>
              <w:t>（投标人评标价－评标基准价）</w:t>
            </w:r>
            <w:r>
              <w:rPr>
                <w:rFonts w:ascii="Times New Roman" w:hAnsi="Times New Roman" w:eastAsia="Times New Roman"/>
                <w:spacing w:val="-2"/>
                <w:sz w:val="21"/>
                <w:szCs w:val="21"/>
                <w:lang w:eastAsia="zh-CN"/>
              </w:rPr>
              <w:t>/</w:t>
            </w:r>
            <w:r>
              <w:rPr>
                <w:rFonts w:ascii="宋体" w:hAnsi="宋体" w:eastAsia="宋体" w:cs="宋体"/>
                <w:spacing w:val="-2"/>
                <w:sz w:val="21"/>
                <w:szCs w:val="21"/>
                <w:lang w:eastAsia="zh-CN"/>
              </w:rPr>
              <w:t>评标基准价</w:t>
            </w:r>
            <w:r>
              <w:rPr>
                <w:rFonts w:ascii="宋体" w:hAnsi="宋体" w:eastAsia="宋体" w:cs="宋体"/>
                <w:spacing w:val="27"/>
                <w:sz w:val="21"/>
                <w:szCs w:val="21"/>
                <w:lang w:eastAsia="zh-CN"/>
              </w:rPr>
              <w:t xml:space="preserve"> </w:t>
            </w:r>
          </w:p>
          <w:p>
            <w:pPr>
              <w:pStyle w:val="85"/>
              <w:spacing w:before="32" w:line="297" w:lineRule="auto"/>
              <w:ind w:right="1216"/>
              <w:rPr>
                <w:rFonts w:ascii="宋体" w:hAnsi="宋体" w:eastAsia="宋体" w:cs="宋体"/>
                <w:spacing w:val="-1"/>
                <w:sz w:val="21"/>
                <w:szCs w:val="21"/>
                <w:lang w:eastAsia="zh-CN"/>
              </w:rPr>
            </w:pPr>
            <w:r>
              <w:rPr>
                <w:rFonts w:ascii="宋体" w:hAnsi="宋体" w:eastAsia="宋体" w:cs="宋体"/>
                <w:spacing w:val="-2"/>
                <w:sz w:val="21"/>
                <w:szCs w:val="21"/>
                <w:lang w:eastAsia="zh-CN"/>
              </w:rPr>
              <w:t>偏差率保留</w:t>
            </w:r>
            <w:r>
              <w:rPr>
                <w:rFonts w:hint="eastAsia" w:ascii="Times New Roman" w:hAnsi="Times New Roman" w:eastAsia="宋体"/>
                <w:spacing w:val="-2"/>
                <w:sz w:val="21"/>
                <w:szCs w:val="21"/>
                <w:u w:val="single" w:color="000000"/>
                <w:lang w:eastAsia="zh-CN"/>
              </w:rPr>
              <w:t>2</w:t>
            </w:r>
            <w:r>
              <w:rPr>
                <w:rFonts w:ascii="宋体" w:hAnsi="宋体" w:eastAsia="宋体" w:cs="宋体"/>
                <w:spacing w:val="-2"/>
                <w:sz w:val="21"/>
                <w:szCs w:val="21"/>
                <w:lang w:eastAsia="zh-CN"/>
              </w:rPr>
              <w:t>位小数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jc w:val="center"/>
        </w:trPr>
        <w:tc>
          <w:tcPr>
            <w:tcW w:w="1204" w:type="dxa"/>
            <w:noWrap w:val="0"/>
            <w:vAlign w:val="center"/>
          </w:tcPr>
          <w:p>
            <w:pPr>
              <w:pStyle w:val="85"/>
              <w:spacing w:before="41"/>
              <w:jc w:val="center"/>
              <w:rPr>
                <w:rFonts w:hint="default" w:ascii="宋体" w:hAnsi="宋体" w:eastAsia="宋体" w:cs="宋体"/>
                <w:spacing w:val="-1"/>
                <w:sz w:val="21"/>
                <w:szCs w:val="21"/>
                <w:lang w:val="en-US" w:eastAsia="zh-CN"/>
              </w:rPr>
            </w:pPr>
            <w:r>
              <w:rPr>
                <w:rFonts w:hint="eastAsia" w:ascii="宋体" w:hAnsi="宋体" w:eastAsia="宋体" w:cs="宋体"/>
                <w:spacing w:val="-1"/>
                <w:sz w:val="21"/>
                <w:szCs w:val="21"/>
                <w:lang w:val="en-US" w:eastAsia="zh-CN"/>
              </w:rPr>
              <w:t>报价得分计算</w:t>
            </w:r>
          </w:p>
        </w:tc>
        <w:tc>
          <w:tcPr>
            <w:tcW w:w="7150" w:type="dxa"/>
            <w:noWrap w:val="0"/>
            <w:vAlign w:val="center"/>
          </w:tcPr>
          <w:p>
            <w:pPr>
              <w:pStyle w:val="85"/>
              <w:spacing w:line="300" w:lineRule="exact"/>
              <w:ind w:left="102"/>
              <w:jc w:val="both"/>
              <w:rPr>
                <w:rFonts w:ascii="宋体" w:hAnsi="宋体" w:eastAsia="宋体" w:cs="宋体"/>
                <w:sz w:val="21"/>
                <w:szCs w:val="21"/>
                <w:lang w:eastAsia="zh-CN"/>
              </w:rPr>
            </w:pPr>
            <w:r>
              <w:rPr>
                <w:rFonts w:ascii="宋体" w:hAnsi="宋体" w:eastAsia="宋体" w:cs="宋体"/>
                <w:sz w:val="21"/>
                <w:szCs w:val="21"/>
                <w:lang w:eastAsia="zh-CN"/>
              </w:rPr>
              <w:t>（</w:t>
            </w:r>
            <w:r>
              <w:rPr>
                <w:rFonts w:ascii="宋体" w:hAnsi="宋体" w:eastAsia="宋体"/>
                <w:sz w:val="21"/>
                <w:szCs w:val="21"/>
                <w:lang w:eastAsia="zh-CN"/>
              </w:rPr>
              <w:t>1</w:t>
            </w:r>
            <w:r>
              <w:rPr>
                <w:rFonts w:ascii="宋体" w:hAnsi="宋体" w:eastAsia="宋体" w:cs="宋体"/>
                <w:spacing w:val="-51"/>
                <w:sz w:val="21"/>
                <w:szCs w:val="21"/>
                <w:lang w:eastAsia="zh-CN"/>
              </w:rPr>
              <w:t>）</w:t>
            </w:r>
            <w:r>
              <w:rPr>
                <w:rFonts w:ascii="宋体" w:hAnsi="宋体" w:eastAsia="宋体" w:cs="宋体"/>
                <w:spacing w:val="-3"/>
                <w:sz w:val="21"/>
                <w:szCs w:val="21"/>
                <w:lang w:eastAsia="zh-CN"/>
              </w:rPr>
              <w:t>如</w:t>
            </w:r>
            <w:r>
              <w:rPr>
                <w:rFonts w:ascii="宋体" w:hAnsi="宋体" w:eastAsia="宋体" w:cs="宋体"/>
                <w:sz w:val="21"/>
                <w:szCs w:val="21"/>
                <w:lang w:eastAsia="zh-CN"/>
              </w:rPr>
              <w:t>果</w:t>
            </w:r>
            <w:r>
              <w:rPr>
                <w:rFonts w:ascii="宋体" w:hAnsi="宋体" w:eastAsia="宋体" w:cs="宋体"/>
                <w:spacing w:val="-3"/>
                <w:sz w:val="21"/>
                <w:szCs w:val="21"/>
                <w:lang w:eastAsia="zh-CN"/>
              </w:rPr>
              <w:t>投</w:t>
            </w:r>
            <w:r>
              <w:rPr>
                <w:rFonts w:ascii="宋体" w:hAnsi="宋体" w:eastAsia="宋体" w:cs="宋体"/>
                <w:sz w:val="21"/>
                <w:szCs w:val="21"/>
                <w:lang w:eastAsia="zh-CN"/>
              </w:rPr>
              <w:t>标</w:t>
            </w:r>
            <w:r>
              <w:rPr>
                <w:rFonts w:ascii="宋体" w:hAnsi="宋体" w:eastAsia="宋体" w:cs="宋体"/>
                <w:spacing w:val="-3"/>
                <w:sz w:val="21"/>
                <w:szCs w:val="21"/>
                <w:lang w:eastAsia="zh-CN"/>
              </w:rPr>
              <w:t>人</w:t>
            </w:r>
            <w:r>
              <w:rPr>
                <w:rFonts w:ascii="宋体" w:hAnsi="宋体" w:eastAsia="宋体" w:cs="宋体"/>
                <w:sz w:val="21"/>
                <w:szCs w:val="21"/>
                <w:lang w:eastAsia="zh-CN"/>
              </w:rPr>
              <w:t>的</w:t>
            </w:r>
            <w:r>
              <w:rPr>
                <w:rFonts w:ascii="宋体" w:hAnsi="宋体" w:eastAsia="宋体" w:cs="宋体"/>
                <w:spacing w:val="-3"/>
                <w:sz w:val="21"/>
                <w:szCs w:val="21"/>
                <w:lang w:eastAsia="zh-CN"/>
              </w:rPr>
              <w:t>评</w:t>
            </w:r>
            <w:r>
              <w:rPr>
                <w:rFonts w:ascii="宋体" w:hAnsi="宋体" w:eastAsia="宋体" w:cs="宋体"/>
                <w:sz w:val="21"/>
                <w:szCs w:val="21"/>
                <w:lang w:eastAsia="zh-CN"/>
              </w:rPr>
              <w:t>标</w:t>
            </w:r>
            <w:r>
              <w:rPr>
                <w:rFonts w:ascii="宋体" w:hAnsi="宋体" w:eastAsia="宋体" w:cs="宋体"/>
                <w:spacing w:val="-3"/>
                <w:sz w:val="21"/>
                <w:szCs w:val="21"/>
                <w:lang w:eastAsia="zh-CN"/>
              </w:rPr>
              <w:t>价</w:t>
            </w:r>
            <w:r>
              <w:rPr>
                <w:rFonts w:ascii="宋体" w:hAnsi="宋体" w:eastAsia="宋体"/>
                <w:sz w:val="21"/>
                <w:szCs w:val="21"/>
                <w:lang w:eastAsia="zh-CN"/>
              </w:rPr>
              <w:t>&gt;</w:t>
            </w:r>
            <w:r>
              <w:rPr>
                <w:rFonts w:ascii="宋体" w:hAnsi="宋体" w:eastAsia="宋体" w:cs="宋体"/>
                <w:spacing w:val="-3"/>
                <w:sz w:val="21"/>
                <w:szCs w:val="21"/>
                <w:lang w:eastAsia="zh-CN"/>
              </w:rPr>
              <w:t>评</w:t>
            </w:r>
            <w:r>
              <w:rPr>
                <w:rFonts w:ascii="宋体" w:hAnsi="宋体" w:eastAsia="宋体" w:cs="宋体"/>
                <w:sz w:val="21"/>
                <w:szCs w:val="21"/>
                <w:lang w:eastAsia="zh-CN"/>
              </w:rPr>
              <w:t>标</w:t>
            </w:r>
            <w:r>
              <w:rPr>
                <w:rFonts w:ascii="宋体" w:hAnsi="宋体" w:eastAsia="宋体" w:cs="宋体"/>
                <w:spacing w:val="-3"/>
                <w:sz w:val="21"/>
                <w:szCs w:val="21"/>
                <w:lang w:eastAsia="zh-CN"/>
              </w:rPr>
              <w:t>基</w:t>
            </w:r>
            <w:r>
              <w:rPr>
                <w:rFonts w:ascii="宋体" w:hAnsi="宋体" w:eastAsia="宋体" w:cs="宋体"/>
                <w:sz w:val="21"/>
                <w:szCs w:val="21"/>
                <w:lang w:eastAsia="zh-CN"/>
              </w:rPr>
              <w:t>准价</w:t>
            </w:r>
            <w:r>
              <w:rPr>
                <w:rFonts w:ascii="宋体" w:hAnsi="宋体" w:eastAsia="宋体" w:cs="宋体"/>
                <w:spacing w:val="-53"/>
                <w:sz w:val="21"/>
                <w:szCs w:val="21"/>
                <w:lang w:eastAsia="zh-CN"/>
              </w:rPr>
              <w:t>，</w:t>
            </w:r>
            <w:r>
              <w:rPr>
                <w:rFonts w:ascii="宋体" w:hAnsi="宋体" w:eastAsia="宋体" w:cs="宋体"/>
                <w:sz w:val="21"/>
                <w:szCs w:val="21"/>
                <w:lang w:eastAsia="zh-CN"/>
              </w:rPr>
              <w:t>则</w:t>
            </w:r>
            <w:r>
              <w:rPr>
                <w:rFonts w:ascii="宋体" w:hAnsi="宋体" w:eastAsia="宋体" w:cs="宋体"/>
                <w:spacing w:val="-3"/>
                <w:sz w:val="21"/>
                <w:szCs w:val="21"/>
                <w:lang w:eastAsia="zh-CN"/>
              </w:rPr>
              <w:t>评</w:t>
            </w:r>
            <w:r>
              <w:rPr>
                <w:rFonts w:ascii="宋体" w:hAnsi="宋体" w:eastAsia="宋体" w:cs="宋体"/>
                <w:sz w:val="21"/>
                <w:szCs w:val="21"/>
                <w:lang w:eastAsia="zh-CN"/>
              </w:rPr>
              <w:t>标</w:t>
            </w:r>
            <w:r>
              <w:rPr>
                <w:rFonts w:ascii="宋体" w:hAnsi="宋体" w:eastAsia="宋体" w:cs="宋体"/>
                <w:spacing w:val="-3"/>
                <w:sz w:val="21"/>
                <w:szCs w:val="21"/>
                <w:lang w:eastAsia="zh-CN"/>
              </w:rPr>
              <w:t>价得</w:t>
            </w:r>
            <w:r>
              <w:rPr>
                <w:rFonts w:ascii="宋体" w:hAnsi="宋体" w:eastAsia="宋体" w:cs="宋体"/>
                <w:sz w:val="21"/>
                <w:szCs w:val="21"/>
                <w:lang w:eastAsia="zh-CN"/>
              </w:rPr>
              <w:t>分</w:t>
            </w:r>
            <w:r>
              <w:rPr>
                <w:rFonts w:ascii="宋体" w:hAnsi="宋体" w:eastAsia="宋体" w:cs="宋体"/>
                <w:spacing w:val="-1"/>
                <w:sz w:val="21"/>
                <w:szCs w:val="21"/>
                <w:lang w:eastAsia="zh-CN"/>
              </w:rPr>
              <w:t>＝</w:t>
            </w:r>
            <w:r>
              <w:rPr>
                <w:rFonts w:ascii="宋体" w:hAnsi="宋体" w:eastAsia="宋体"/>
                <w:spacing w:val="-1"/>
                <w:sz w:val="21"/>
                <w:szCs w:val="21"/>
                <w:lang w:eastAsia="zh-CN"/>
              </w:rPr>
              <w:t>F</w:t>
            </w:r>
            <w:r>
              <w:rPr>
                <w:rFonts w:ascii="宋体" w:hAnsi="宋体" w:eastAsia="宋体" w:cs="宋体"/>
                <w:spacing w:val="-1"/>
                <w:sz w:val="21"/>
                <w:szCs w:val="21"/>
                <w:lang w:eastAsia="zh-CN"/>
              </w:rPr>
              <w:t>－偏差率</w:t>
            </w:r>
            <w:r>
              <w:rPr>
                <w:rFonts w:ascii="宋体" w:hAnsi="宋体" w:eastAsia="宋体"/>
                <w:spacing w:val="-1"/>
                <w:sz w:val="21"/>
                <w:szCs w:val="21"/>
                <w:lang w:eastAsia="zh-CN"/>
              </w:rPr>
              <w:t>×100×</w:t>
            </w:r>
            <w:r>
              <w:rPr>
                <w:rFonts w:ascii="宋体" w:hAnsi="宋体" w:eastAsia="宋体"/>
                <w:spacing w:val="-5"/>
                <w:sz w:val="21"/>
                <w:szCs w:val="21"/>
                <w:lang w:eastAsia="zh-CN"/>
              </w:rPr>
              <w:t xml:space="preserve"> </w:t>
            </w:r>
            <w:r>
              <w:rPr>
                <w:rFonts w:ascii="宋体" w:hAnsi="宋体" w:eastAsia="宋体"/>
                <w:sz w:val="21"/>
                <w:szCs w:val="21"/>
                <w:lang w:eastAsia="zh-CN"/>
              </w:rPr>
              <w:t>E</w:t>
            </w:r>
            <w:r>
              <w:rPr>
                <w:rFonts w:ascii="宋体" w:hAnsi="宋体" w:eastAsia="宋体"/>
                <w:position w:val="-2"/>
                <w:sz w:val="21"/>
                <w:szCs w:val="21"/>
                <w:lang w:eastAsia="zh-CN"/>
              </w:rPr>
              <w:t>1</w:t>
            </w:r>
            <w:r>
              <w:rPr>
                <w:rFonts w:ascii="宋体" w:hAnsi="宋体" w:eastAsia="宋体" w:cs="宋体"/>
                <w:sz w:val="21"/>
                <w:szCs w:val="21"/>
                <w:lang w:eastAsia="zh-CN"/>
              </w:rPr>
              <w:t>；</w:t>
            </w:r>
          </w:p>
          <w:p>
            <w:pPr>
              <w:pStyle w:val="85"/>
              <w:spacing w:line="300" w:lineRule="exact"/>
              <w:ind w:left="102"/>
              <w:jc w:val="both"/>
              <w:rPr>
                <w:rFonts w:ascii="宋体" w:hAnsi="宋体" w:eastAsia="宋体" w:cs="宋体"/>
                <w:sz w:val="21"/>
                <w:szCs w:val="21"/>
                <w:lang w:eastAsia="zh-CN"/>
              </w:rPr>
            </w:pPr>
            <w:r>
              <w:rPr>
                <w:rFonts w:ascii="宋体" w:hAnsi="宋体" w:eastAsia="宋体" w:cs="宋体"/>
                <w:sz w:val="21"/>
                <w:szCs w:val="21"/>
                <w:lang w:eastAsia="zh-CN"/>
              </w:rPr>
              <w:t>（</w:t>
            </w:r>
            <w:r>
              <w:rPr>
                <w:rFonts w:ascii="宋体" w:hAnsi="宋体" w:eastAsia="宋体"/>
                <w:sz w:val="21"/>
                <w:szCs w:val="21"/>
                <w:lang w:eastAsia="zh-CN"/>
              </w:rPr>
              <w:t>2</w:t>
            </w:r>
            <w:r>
              <w:rPr>
                <w:rFonts w:ascii="宋体" w:hAnsi="宋体" w:eastAsia="宋体" w:cs="宋体"/>
                <w:spacing w:val="-51"/>
                <w:sz w:val="21"/>
                <w:szCs w:val="21"/>
                <w:lang w:eastAsia="zh-CN"/>
              </w:rPr>
              <w:t>）</w:t>
            </w:r>
            <w:r>
              <w:rPr>
                <w:rFonts w:ascii="宋体" w:hAnsi="宋体" w:eastAsia="宋体" w:cs="宋体"/>
                <w:sz w:val="21"/>
                <w:szCs w:val="21"/>
                <w:lang w:eastAsia="zh-CN"/>
              </w:rPr>
              <w:t>如</w:t>
            </w:r>
            <w:r>
              <w:rPr>
                <w:rFonts w:ascii="宋体" w:hAnsi="宋体" w:eastAsia="宋体" w:cs="宋体"/>
                <w:spacing w:val="-3"/>
                <w:sz w:val="21"/>
                <w:szCs w:val="21"/>
                <w:lang w:eastAsia="zh-CN"/>
              </w:rPr>
              <w:t>果</w:t>
            </w:r>
            <w:r>
              <w:rPr>
                <w:rFonts w:ascii="宋体" w:hAnsi="宋体" w:eastAsia="宋体" w:cs="宋体"/>
                <w:sz w:val="21"/>
                <w:szCs w:val="21"/>
                <w:lang w:eastAsia="zh-CN"/>
              </w:rPr>
              <w:t>投</w:t>
            </w:r>
            <w:r>
              <w:rPr>
                <w:rFonts w:ascii="宋体" w:hAnsi="宋体" w:eastAsia="宋体" w:cs="宋体"/>
                <w:spacing w:val="-3"/>
                <w:sz w:val="21"/>
                <w:szCs w:val="21"/>
                <w:lang w:eastAsia="zh-CN"/>
              </w:rPr>
              <w:t>标</w:t>
            </w:r>
            <w:r>
              <w:rPr>
                <w:rFonts w:ascii="宋体" w:hAnsi="宋体" w:eastAsia="宋体" w:cs="宋体"/>
                <w:sz w:val="21"/>
                <w:szCs w:val="21"/>
                <w:lang w:eastAsia="zh-CN"/>
              </w:rPr>
              <w:t>人</w:t>
            </w:r>
            <w:r>
              <w:rPr>
                <w:rFonts w:ascii="宋体" w:hAnsi="宋体" w:eastAsia="宋体" w:cs="宋体"/>
                <w:spacing w:val="-3"/>
                <w:sz w:val="21"/>
                <w:szCs w:val="21"/>
                <w:lang w:eastAsia="zh-CN"/>
              </w:rPr>
              <w:t>的</w:t>
            </w:r>
            <w:r>
              <w:rPr>
                <w:rFonts w:ascii="宋体" w:hAnsi="宋体" w:eastAsia="宋体" w:cs="宋体"/>
                <w:sz w:val="21"/>
                <w:szCs w:val="21"/>
                <w:lang w:eastAsia="zh-CN"/>
              </w:rPr>
              <w:t>评</w:t>
            </w:r>
            <w:r>
              <w:rPr>
                <w:rFonts w:ascii="宋体" w:hAnsi="宋体" w:eastAsia="宋体" w:cs="宋体"/>
                <w:spacing w:val="-3"/>
                <w:sz w:val="21"/>
                <w:szCs w:val="21"/>
                <w:lang w:eastAsia="zh-CN"/>
              </w:rPr>
              <w:t>标价</w:t>
            </w:r>
            <w:r>
              <w:rPr>
                <w:rFonts w:ascii="宋体" w:hAnsi="宋体" w:eastAsia="宋体"/>
                <w:spacing w:val="-1"/>
                <w:sz w:val="21"/>
                <w:szCs w:val="21"/>
                <w:lang w:eastAsia="zh-CN"/>
              </w:rPr>
              <w:t>≤</w:t>
            </w:r>
            <w:r>
              <w:rPr>
                <w:rFonts w:ascii="宋体" w:hAnsi="宋体" w:eastAsia="宋体" w:cs="宋体"/>
                <w:sz w:val="21"/>
                <w:szCs w:val="21"/>
                <w:lang w:eastAsia="zh-CN"/>
              </w:rPr>
              <w:t>评标</w:t>
            </w:r>
            <w:r>
              <w:rPr>
                <w:rFonts w:ascii="宋体" w:hAnsi="宋体" w:eastAsia="宋体" w:cs="宋体"/>
                <w:spacing w:val="-3"/>
                <w:sz w:val="21"/>
                <w:szCs w:val="21"/>
                <w:lang w:eastAsia="zh-CN"/>
              </w:rPr>
              <w:t>基</w:t>
            </w:r>
            <w:r>
              <w:rPr>
                <w:rFonts w:ascii="宋体" w:hAnsi="宋体" w:eastAsia="宋体" w:cs="宋体"/>
                <w:sz w:val="21"/>
                <w:szCs w:val="21"/>
                <w:lang w:eastAsia="zh-CN"/>
              </w:rPr>
              <w:t>准</w:t>
            </w:r>
            <w:r>
              <w:rPr>
                <w:rFonts w:ascii="宋体" w:hAnsi="宋体" w:eastAsia="宋体" w:cs="宋体"/>
                <w:spacing w:val="-3"/>
                <w:sz w:val="21"/>
                <w:szCs w:val="21"/>
                <w:lang w:eastAsia="zh-CN"/>
              </w:rPr>
              <w:t>价</w:t>
            </w:r>
            <w:r>
              <w:rPr>
                <w:rFonts w:ascii="宋体" w:hAnsi="宋体" w:eastAsia="宋体" w:cs="宋体"/>
                <w:spacing w:val="-48"/>
                <w:sz w:val="21"/>
                <w:szCs w:val="21"/>
                <w:lang w:eastAsia="zh-CN"/>
              </w:rPr>
              <w:t>，</w:t>
            </w:r>
            <w:r>
              <w:rPr>
                <w:rFonts w:ascii="宋体" w:hAnsi="宋体" w:eastAsia="宋体" w:cs="宋体"/>
                <w:spacing w:val="-3"/>
                <w:sz w:val="21"/>
                <w:szCs w:val="21"/>
                <w:lang w:eastAsia="zh-CN"/>
              </w:rPr>
              <w:t>则</w:t>
            </w:r>
            <w:r>
              <w:rPr>
                <w:rFonts w:ascii="宋体" w:hAnsi="宋体" w:eastAsia="宋体" w:cs="宋体"/>
                <w:sz w:val="21"/>
                <w:szCs w:val="21"/>
                <w:lang w:eastAsia="zh-CN"/>
              </w:rPr>
              <w:t>评</w:t>
            </w:r>
            <w:r>
              <w:rPr>
                <w:rFonts w:ascii="宋体" w:hAnsi="宋体" w:eastAsia="宋体" w:cs="宋体"/>
                <w:spacing w:val="-3"/>
                <w:sz w:val="21"/>
                <w:szCs w:val="21"/>
                <w:lang w:eastAsia="zh-CN"/>
              </w:rPr>
              <w:t>标</w:t>
            </w:r>
            <w:r>
              <w:rPr>
                <w:rFonts w:ascii="宋体" w:hAnsi="宋体" w:eastAsia="宋体" w:cs="宋体"/>
                <w:sz w:val="21"/>
                <w:szCs w:val="21"/>
                <w:lang w:eastAsia="zh-CN"/>
              </w:rPr>
              <w:t>价</w:t>
            </w:r>
            <w:r>
              <w:rPr>
                <w:rFonts w:ascii="宋体" w:hAnsi="宋体" w:eastAsia="宋体" w:cs="宋体"/>
                <w:spacing w:val="-3"/>
                <w:sz w:val="21"/>
                <w:szCs w:val="21"/>
                <w:lang w:eastAsia="zh-CN"/>
              </w:rPr>
              <w:t>得</w:t>
            </w:r>
            <w:r>
              <w:rPr>
                <w:rFonts w:ascii="宋体" w:hAnsi="宋体" w:eastAsia="宋体" w:cs="宋体"/>
                <w:sz w:val="21"/>
                <w:szCs w:val="21"/>
                <w:lang w:eastAsia="zh-CN"/>
              </w:rPr>
              <w:t>分</w:t>
            </w:r>
            <w:r>
              <w:rPr>
                <w:rFonts w:ascii="宋体" w:hAnsi="宋体" w:eastAsia="宋体" w:cs="宋体"/>
                <w:spacing w:val="-1"/>
                <w:sz w:val="21"/>
                <w:szCs w:val="21"/>
                <w:lang w:eastAsia="zh-CN"/>
              </w:rPr>
              <w:t>＝</w:t>
            </w:r>
            <w:r>
              <w:rPr>
                <w:rFonts w:ascii="宋体" w:hAnsi="宋体" w:eastAsia="宋体"/>
                <w:spacing w:val="-1"/>
                <w:sz w:val="21"/>
                <w:szCs w:val="21"/>
                <w:lang w:eastAsia="zh-CN"/>
              </w:rPr>
              <w:t>F</w:t>
            </w:r>
            <w:r>
              <w:rPr>
                <w:rFonts w:ascii="宋体" w:hAnsi="宋体" w:eastAsia="宋体" w:cs="宋体"/>
                <w:spacing w:val="-1"/>
                <w:sz w:val="21"/>
                <w:szCs w:val="21"/>
                <w:lang w:eastAsia="zh-CN"/>
              </w:rPr>
              <w:t>＋偏差率</w:t>
            </w:r>
            <w:r>
              <w:rPr>
                <w:rFonts w:ascii="宋体" w:hAnsi="宋体" w:eastAsia="宋体"/>
                <w:spacing w:val="-1"/>
                <w:sz w:val="21"/>
                <w:szCs w:val="21"/>
                <w:lang w:eastAsia="zh-CN"/>
              </w:rPr>
              <w:t>×</w:t>
            </w:r>
            <w:r>
              <w:rPr>
                <w:rFonts w:ascii="宋体" w:hAnsi="宋体" w:eastAsia="宋体"/>
                <w:spacing w:val="-5"/>
                <w:sz w:val="21"/>
                <w:szCs w:val="21"/>
                <w:lang w:eastAsia="zh-CN"/>
              </w:rPr>
              <w:t xml:space="preserve"> </w:t>
            </w:r>
            <w:r>
              <w:rPr>
                <w:rFonts w:ascii="宋体" w:hAnsi="宋体" w:eastAsia="宋体"/>
                <w:spacing w:val="-1"/>
                <w:sz w:val="21"/>
                <w:szCs w:val="21"/>
                <w:lang w:eastAsia="zh-CN"/>
              </w:rPr>
              <w:t>100×</w:t>
            </w:r>
            <w:r>
              <w:rPr>
                <w:rFonts w:ascii="宋体" w:hAnsi="宋体" w:eastAsia="宋体"/>
                <w:spacing w:val="-4"/>
                <w:sz w:val="21"/>
                <w:szCs w:val="21"/>
                <w:lang w:eastAsia="zh-CN"/>
              </w:rPr>
              <w:t xml:space="preserve"> </w:t>
            </w:r>
            <w:r>
              <w:rPr>
                <w:rFonts w:ascii="宋体" w:hAnsi="宋体" w:eastAsia="宋体"/>
                <w:sz w:val="21"/>
                <w:szCs w:val="21"/>
                <w:lang w:eastAsia="zh-CN"/>
              </w:rPr>
              <w:t>E</w:t>
            </w:r>
            <w:r>
              <w:rPr>
                <w:rFonts w:ascii="宋体" w:hAnsi="宋体" w:eastAsia="宋体"/>
                <w:position w:val="-2"/>
                <w:sz w:val="21"/>
                <w:szCs w:val="21"/>
                <w:lang w:eastAsia="zh-CN"/>
              </w:rPr>
              <w:t>2</w:t>
            </w:r>
            <w:r>
              <w:rPr>
                <w:rFonts w:ascii="宋体" w:hAnsi="宋体" w:eastAsia="宋体" w:cs="宋体"/>
                <w:sz w:val="21"/>
                <w:szCs w:val="21"/>
                <w:lang w:eastAsia="zh-CN"/>
              </w:rPr>
              <w:t>。</w:t>
            </w:r>
          </w:p>
          <w:p>
            <w:pPr>
              <w:pStyle w:val="85"/>
              <w:spacing w:line="300" w:lineRule="exact"/>
              <w:ind w:left="102" w:right="100"/>
              <w:jc w:val="both"/>
              <w:rPr>
                <w:rFonts w:hint="eastAsia" w:ascii="宋体" w:hAnsi="宋体" w:eastAsia="宋体" w:cs="宋体"/>
                <w:spacing w:val="-3"/>
                <w:sz w:val="21"/>
                <w:szCs w:val="21"/>
                <w:lang w:val="en-US" w:eastAsia="zh-CN"/>
              </w:rPr>
            </w:pPr>
            <w:r>
              <w:rPr>
                <w:rFonts w:ascii="宋体" w:hAnsi="宋体" w:eastAsia="宋体" w:cs="宋体"/>
                <w:sz w:val="21"/>
                <w:szCs w:val="21"/>
                <w:lang w:eastAsia="zh-CN"/>
              </w:rPr>
              <w:t>其</w:t>
            </w:r>
            <w:r>
              <w:rPr>
                <w:rFonts w:ascii="宋体" w:hAnsi="宋体" w:eastAsia="宋体" w:cs="宋体"/>
                <w:spacing w:val="-3"/>
                <w:sz w:val="21"/>
                <w:szCs w:val="21"/>
                <w:lang w:eastAsia="zh-CN"/>
              </w:rPr>
              <w:t>中</w:t>
            </w:r>
            <w:r>
              <w:rPr>
                <w:rFonts w:ascii="宋体" w:hAnsi="宋体" w:eastAsia="宋体" w:cs="宋体"/>
                <w:spacing w:val="-34"/>
                <w:sz w:val="21"/>
                <w:szCs w:val="21"/>
                <w:lang w:eastAsia="zh-CN"/>
              </w:rPr>
              <w:t>：</w:t>
            </w:r>
            <w:r>
              <w:rPr>
                <w:rFonts w:ascii="宋体" w:hAnsi="宋体" w:eastAsia="宋体"/>
                <w:sz w:val="21"/>
                <w:szCs w:val="21"/>
                <w:lang w:eastAsia="zh-CN"/>
              </w:rPr>
              <w:t>F</w:t>
            </w:r>
            <w:r>
              <w:rPr>
                <w:rFonts w:ascii="宋体" w:hAnsi="宋体" w:eastAsia="宋体"/>
                <w:spacing w:val="-6"/>
                <w:sz w:val="21"/>
                <w:szCs w:val="21"/>
                <w:lang w:eastAsia="zh-CN"/>
              </w:rPr>
              <w:t xml:space="preserve"> </w:t>
            </w:r>
            <w:r>
              <w:rPr>
                <w:rFonts w:ascii="宋体" w:hAnsi="宋体" w:eastAsia="宋体" w:cs="宋体"/>
                <w:sz w:val="21"/>
                <w:szCs w:val="21"/>
                <w:lang w:eastAsia="zh-CN"/>
              </w:rPr>
              <w:t>是评标</w:t>
            </w:r>
            <w:r>
              <w:rPr>
                <w:rFonts w:ascii="宋体" w:hAnsi="宋体" w:eastAsia="宋体" w:cs="宋体"/>
                <w:spacing w:val="-3"/>
                <w:sz w:val="21"/>
                <w:szCs w:val="21"/>
                <w:lang w:eastAsia="zh-CN"/>
              </w:rPr>
              <w:t>价</w:t>
            </w:r>
            <w:r>
              <w:rPr>
                <w:rFonts w:ascii="宋体" w:hAnsi="宋体" w:eastAsia="宋体" w:cs="宋体"/>
                <w:sz w:val="21"/>
                <w:szCs w:val="21"/>
                <w:lang w:eastAsia="zh-CN"/>
              </w:rPr>
              <w:t>所</w:t>
            </w:r>
            <w:r>
              <w:rPr>
                <w:rFonts w:ascii="宋体" w:hAnsi="宋体" w:eastAsia="宋体" w:cs="宋体"/>
                <w:spacing w:val="-3"/>
                <w:sz w:val="21"/>
                <w:szCs w:val="21"/>
                <w:lang w:eastAsia="zh-CN"/>
              </w:rPr>
              <w:t>占</w:t>
            </w:r>
            <w:r>
              <w:rPr>
                <w:rFonts w:ascii="宋体" w:hAnsi="宋体" w:eastAsia="宋体" w:cs="宋体"/>
                <w:sz w:val="21"/>
                <w:szCs w:val="21"/>
                <w:lang w:eastAsia="zh-CN"/>
              </w:rPr>
              <w:t>的</w:t>
            </w:r>
            <w:r>
              <w:rPr>
                <w:rFonts w:ascii="宋体" w:hAnsi="宋体" w:eastAsia="宋体" w:cs="宋体"/>
                <w:spacing w:val="-3"/>
                <w:sz w:val="21"/>
                <w:szCs w:val="21"/>
                <w:lang w:eastAsia="zh-CN"/>
              </w:rPr>
              <w:t>权</w:t>
            </w:r>
            <w:r>
              <w:rPr>
                <w:rFonts w:ascii="宋体" w:hAnsi="宋体" w:eastAsia="宋体" w:cs="宋体"/>
                <w:sz w:val="21"/>
                <w:szCs w:val="21"/>
                <w:lang w:eastAsia="zh-CN"/>
              </w:rPr>
              <w:t>重分</w:t>
            </w:r>
            <w:r>
              <w:rPr>
                <w:rFonts w:ascii="宋体" w:hAnsi="宋体" w:eastAsia="宋体" w:cs="宋体"/>
                <w:spacing w:val="-3"/>
                <w:sz w:val="21"/>
                <w:szCs w:val="21"/>
                <w:lang w:eastAsia="zh-CN"/>
              </w:rPr>
              <w:t>值</w:t>
            </w:r>
            <w:r>
              <w:rPr>
                <w:rFonts w:hint="eastAsia" w:ascii="宋体" w:hAnsi="宋体" w:eastAsia="宋体" w:cs="宋体"/>
                <w:spacing w:val="-3"/>
                <w:sz w:val="21"/>
                <w:szCs w:val="21"/>
                <w:lang w:val="en-US" w:eastAsia="zh-CN"/>
              </w:rPr>
              <w:t>；</w:t>
            </w:r>
          </w:p>
          <w:p>
            <w:pPr>
              <w:pStyle w:val="85"/>
              <w:spacing w:line="300" w:lineRule="exact"/>
              <w:ind w:left="102" w:right="100" w:firstLine="630" w:firstLineChars="300"/>
              <w:jc w:val="both"/>
              <w:rPr>
                <w:rFonts w:hint="eastAsia" w:ascii="宋体" w:hAnsi="宋体" w:eastAsia="宋体" w:cs="宋体"/>
                <w:spacing w:val="1"/>
                <w:sz w:val="21"/>
                <w:szCs w:val="21"/>
                <w:lang w:val="en-US" w:eastAsia="zh-CN"/>
              </w:rPr>
            </w:pPr>
            <w:r>
              <w:rPr>
                <w:rFonts w:ascii="宋体" w:hAnsi="宋体" w:eastAsia="宋体"/>
                <w:sz w:val="21"/>
                <w:szCs w:val="21"/>
                <w:lang w:eastAsia="zh-CN"/>
              </w:rPr>
              <w:t>E</w:t>
            </w:r>
            <w:r>
              <w:rPr>
                <w:rFonts w:ascii="宋体" w:hAnsi="宋体" w:eastAsia="宋体"/>
                <w:position w:val="-2"/>
                <w:sz w:val="21"/>
                <w:szCs w:val="21"/>
                <w:lang w:eastAsia="zh-CN"/>
              </w:rPr>
              <w:t>1</w:t>
            </w:r>
            <w:r>
              <w:rPr>
                <w:rFonts w:ascii="宋体" w:hAnsi="宋体" w:eastAsia="宋体"/>
                <w:spacing w:val="-2"/>
                <w:position w:val="-2"/>
                <w:sz w:val="21"/>
                <w:szCs w:val="21"/>
                <w:lang w:eastAsia="zh-CN"/>
              </w:rPr>
              <w:t xml:space="preserve"> </w:t>
            </w:r>
            <w:r>
              <w:rPr>
                <w:rFonts w:ascii="宋体" w:hAnsi="宋体" w:eastAsia="宋体" w:cs="宋体"/>
                <w:sz w:val="21"/>
                <w:szCs w:val="21"/>
                <w:lang w:eastAsia="zh-CN"/>
              </w:rPr>
              <w:t>是</w:t>
            </w:r>
            <w:r>
              <w:rPr>
                <w:rFonts w:ascii="宋体" w:hAnsi="宋体" w:eastAsia="宋体" w:cs="宋体"/>
                <w:spacing w:val="-3"/>
                <w:sz w:val="21"/>
                <w:szCs w:val="21"/>
                <w:lang w:eastAsia="zh-CN"/>
              </w:rPr>
              <w:t>评</w:t>
            </w:r>
            <w:r>
              <w:rPr>
                <w:rFonts w:ascii="宋体" w:hAnsi="宋体" w:eastAsia="宋体" w:cs="宋体"/>
                <w:sz w:val="21"/>
                <w:szCs w:val="21"/>
                <w:lang w:eastAsia="zh-CN"/>
              </w:rPr>
              <w:t>标</w:t>
            </w:r>
            <w:r>
              <w:rPr>
                <w:rFonts w:ascii="宋体" w:hAnsi="宋体" w:eastAsia="宋体" w:cs="宋体"/>
                <w:spacing w:val="-3"/>
                <w:sz w:val="21"/>
                <w:szCs w:val="21"/>
                <w:lang w:eastAsia="zh-CN"/>
              </w:rPr>
              <w:t>价</w:t>
            </w:r>
            <w:r>
              <w:rPr>
                <w:rFonts w:ascii="宋体" w:hAnsi="宋体" w:eastAsia="宋体" w:cs="宋体"/>
                <w:sz w:val="21"/>
                <w:szCs w:val="21"/>
                <w:lang w:eastAsia="zh-CN"/>
              </w:rPr>
              <w:t>每</w:t>
            </w:r>
            <w:r>
              <w:rPr>
                <w:rFonts w:ascii="宋体" w:hAnsi="宋体" w:eastAsia="宋体" w:cs="宋体"/>
                <w:spacing w:val="-3"/>
                <w:sz w:val="21"/>
                <w:szCs w:val="21"/>
                <w:lang w:eastAsia="zh-CN"/>
              </w:rPr>
              <w:t>高</w:t>
            </w:r>
            <w:r>
              <w:rPr>
                <w:rFonts w:ascii="宋体" w:hAnsi="宋体" w:eastAsia="宋体" w:cs="宋体"/>
                <w:sz w:val="21"/>
                <w:szCs w:val="21"/>
                <w:lang w:eastAsia="zh-CN"/>
              </w:rPr>
              <w:t>于</w:t>
            </w:r>
            <w:r>
              <w:rPr>
                <w:rFonts w:ascii="宋体" w:hAnsi="宋体" w:eastAsia="宋体" w:cs="宋体"/>
                <w:spacing w:val="1"/>
                <w:sz w:val="21"/>
                <w:szCs w:val="21"/>
                <w:lang w:eastAsia="zh-CN"/>
              </w:rPr>
              <w:t>评标基准价一个百分点的扣分值</w:t>
            </w:r>
            <w:r>
              <w:rPr>
                <w:rFonts w:hint="eastAsia" w:ascii="宋体" w:hAnsi="宋体" w:eastAsia="宋体" w:cs="宋体"/>
                <w:spacing w:val="1"/>
                <w:sz w:val="21"/>
                <w:szCs w:val="21"/>
                <w:lang w:val="en-US" w:eastAsia="zh-CN"/>
              </w:rPr>
              <w:t>；</w:t>
            </w:r>
          </w:p>
          <w:p>
            <w:pPr>
              <w:pStyle w:val="85"/>
              <w:spacing w:line="300" w:lineRule="exact"/>
              <w:ind w:left="102" w:right="100" w:firstLine="636" w:firstLineChars="300"/>
              <w:jc w:val="both"/>
              <w:rPr>
                <w:rFonts w:ascii="宋体" w:hAnsi="宋体" w:eastAsia="宋体" w:cs="宋体"/>
                <w:spacing w:val="-87"/>
                <w:sz w:val="21"/>
                <w:szCs w:val="21"/>
                <w:lang w:eastAsia="zh-CN"/>
              </w:rPr>
            </w:pPr>
            <w:r>
              <w:rPr>
                <w:rFonts w:ascii="宋体" w:hAnsi="宋体" w:eastAsia="宋体"/>
                <w:spacing w:val="1"/>
                <w:sz w:val="21"/>
                <w:szCs w:val="21"/>
                <w:lang w:eastAsia="zh-CN"/>
              </w:rPr>
              <w:t>E</w:t>
            </w:r>
            <w:r>
              <w:rPr>
                <w:rFonts w:ascii="宋体" w:hAnsi="宋体" w:eastAsia="宋体"/>
                <w:spacing w:val="1"/>
                <w:position w:val="-2"/>
                <w:sz w:val="21"/>
                <w:szCs w:val="21"/>
                <w:lang w:eastAsia="zh-CN"/>
              </w:rPr>
              <w:t xml:space="preserve">2 </w:t>
            </w:r>
            <w:r>
              <w:rPr>
                <w:rFonts w:ascii="宋体" w:hAnsi="宋体" w:eastAsia="宋体" w:cs="宋体"/>
                <w:spacing w:val="1"/>
                <w:sz w:val="21"/>
                <w:szCs w:val="21"/>
                <w:lang w:eastAsia="zh-CN"/>
              </w:rPr>
              <w:t>是评标价每低于</w:t>
            </w:r>
            <w:r>
              <w:rPr>
                <w:rFonts w:ascii="宋体" w:hAnsi="宋体" w:eastAsia="宋体" w:cs="宋体"/>
                <w:sz w:val="21"/>
                <w:szCs w:val="21"/>
                <w:lang w:eastAsia="zh-CN"/>
              </w:rPr>
              <w:t>评标</w:t>
            </w:r>
            <w:r>
              <w:rPr>
                <w:rFonts w:ascii="宋体" w:hAnsi="宋体" w:eastAsia="宋体" w:cs="宋体"/>
                <w:spacing w:val="-3"/>
                <w:sz w:val="21"/>
                <w:szCs w:val="21"/>
                <w:lang w:eastAsia="zh-CN"/>
              </w:rPr>
              <w:t>基</w:t>
            </w:r>
            <w:r>
              <w:rPr>
                <w:rFonts w:ascii="宋体" w:hAnsi="宋体" w:eastAsia="宋体" w:cs="宋体"/>
                <w:sz w:val="21"/>
                <w:szCs w:val="21"/>
                <w:lang w:eastAsia="zh-CN"/>
              </w:rPr>
              <w:t>准</w:t>
            </w:r>
            <w:r>
              <w:rPr>
                <w:rFonts w:ascii="宋体" w:hAnsi="宋体" w:eastAsia="宋体" w:cs="宋体"/>
                <w:spacing w:val="-3"/>
                <w:sz w:val="21"/>
                <w:szCs w:val="21"/>
                <w:lang w:eastAsia="zh-CN"/>
              </w:rPr>
              <w:t>价</w:t>
            </w:r>
            <w:r>
              <w:rPr>
                <w:rFonts w:ascii="宋体" w:hAnsi="宋体" w:eastAsia="宋体" w:cs="宋体"/>
                <w:sz w:val="21"/>
                <w:szCs w:val="21"/>
                <w:lang w:eastAsia="zh-CN"/>
              </w:rPr>
              <w:t>一</w:t>
            </w:r>
            <w:r>
              <w:rPr>
                <w:rFonts w:ascii="宋体" w:hAnsi="宋体" w:eastAsia="宋体" w:cs="宋体"/>
                <w:spacing w:val="-3"/>
                <w:sz w:val="21"/>
                <w:szCs w:val="21"/>
                <w:lang w:eastAsia="zh-CN"/>
              </w:rPr>
              <w:t>个</w:t>
            </w:r>
            <w:r>
              <w:rPr>
                <w:rFonts w:ascii="宋体" w:hAnsi="宋体" w:eastAsia="宋体" w:cs="宋体"/>
                <w:sz w:val="21"/>
                <w:szCs w:val="21"/>
                <w:lang w:eastAsia="zh-CN"/>
              </w:rPr>
              <w:t>百</w:t>
            </w:r>
            <w:r>
              <w:rPr>
                <w:rFonts w:ascii="宋体" w:hAnsi="宋体" w:eastAsia="宋体" w:cs="宋体"/>
                <w:spacing w:val="-3"/>
                <w:sz w:val="21"/>
                <w:szCs w:val="21"/>
                <w:lang w:eastAsia="zh-CN"/>
              </w:rPr>
              <w:t>分</w:t>
            </w:r>
            <w:r>
              <w:rPr>
                <w:rFonts w:ascii="宋体" w:hAnsi="宋体" w:eastAsia="宋体" w:cs="宋体"/>
                <w:sz w:val="21"/>
                <w:szCs w:val="21"/>
                <w:lang w:eastAsia="zh-CN"/>
              </w:rPr>
              <w:t>点</w:t>
            </w:r>
            <w:r>
              <w:rPr>
                <w:rFonts w:ascii="宋体" w:hAnsi="宋体" w:eastAsia="宋体" w:cs="宋体"/>
                <w:spacing w:val="-3"/>
                <w:sz w:val="21"/>
                <w:szCs w:val="21"/>
                <w:lang w:eastAsia="zh-CN"/>
              </w:rPr>
              <w:t>的</w:t>
            </w:r>
            <w:r>
              <w:rPr>
                <w:rFonts w:ascii="宋体" w:hAnsi="宋体" w:eastAsia="宋体" w:cs="宋体"/>
                <w:sz w:val="21"/>
                <w:szCs w:val="21"/>
                <w:lang w:eastAsia="zh-CN"/>
              </w:rPr>
              <w:t>扣分</w:t>
            </w:r>
            <w:r>
              <w:rPr>
                <w:rFonts w:ascii="宋体" w:hAnsi="宋体" w:eastAsia="宋体" w:cs="宋体"/>
                <w:spacing w:val="-3"/>
                <w:sz w:val="21"/>
                <w:szCs w:val="21"/>
                <w:lang w:eastAsia="zh-CN"/>
              </w:rPr>
              <w:t>值</w:t>
            </w:r>
            <w:r>
              <w:rPr>
                <w:rFonts w:ascii="宋体" w:hAnsi="宋体" w:eastAsia="宋体" w:cs="宋体"/>
                <w:spacing w:val="-87"/>
                <w:sz w:val="21"/>
                <w:szCs w:val="21"/>
                <w:lang w:eastAsia="zh-CN"/>
              </w:rPr>
              <w:t>；</w:t>
            </w:r>
          </w:p>
          <w:p>
            <w:pPr>
              <w:pStyle w:val="85"/>
              <w:spacing w:before="32" w:line="297" w:lineRule="auto"/>
              <w:ind w:right="1216"/>
              <w:rPr>
                <w:rFonts w:ascii="宋体" w:hAnsi="宋体" w:eastAsia="宋体" w:cs="宋体"/>
                <w:spacing w:val="-2"/>
                <w:sz w:val="21"/>
                <w:szCs w:val="21"/>
                <w:lang w:eastAsia="zh-CN"/>
              </w:rPr>
            </w:pPr>
            <w:r>
              <w:rPr>
                <w:rFonts w:ascii="宋体" w:hAnsi="宋体" w:eastAsia="宋体" w:cs="宋体"/>
                <w:spacing w:val="-54"/>
                <w:sz w:val="21"/>
                <w:szCs w:val="21"/>
                <w:highlight w:val="none"/>
                <w:lang w:eastAsia="zh-CN"/>
              </w:rPr>
              <w:t xml:space="preserve"> </w:t>
            </w:r>
            <w:r>
              <w:rPr>
                <w:rFonts w:hint="eastAsia" w:ascii="宋体" w:hAnsi="宋体" w:eastAsia="宋体" w:cs="宋体"/>
                <w:spacing w:val="-54"/>
                <w:sz w:val="21"/>
                <w:szCs w:val="21"/>
                <w:highlight w:val="none"/>
                <w:lang w:val="en-US" w:eastAsia="zh-CN"/>
              </w:rPr>
              <w:t xml:space="preserve">      </w:t>
            </w:r>
            <w:r>
              <w:rPr>
                <w:rFonts w:ascii="宋体" w:hAnsi="宋体" w:eastAsia="宋体"/>
                <w:spacing w:val="-1"/>
                <w:sz w:val="21"/>
                <w:szCs w:val="21"/>
                <w:highlight w:val="none"/>
                <w:lang w:eastAsia="zh-CN"/>
              </w:rPr>
              <w:t>E</w:t>
            </w:r>
            <w:r>
              <w:rPr>
                <w:rFonts w:ascii="宋体" w:hAnsi="宋体" w:eastAsia="宋体"/>
                <w:spacing w:val="-1"/>
                <w:position w:val="-2"/>
                <w:sz w:val="21"/>
                <w:szCs w:val="21"/>
                <w:highlight w:val="none"/>
                <w:lang w:eastAsia="zh-CN"/>
              </w:rPr>
              <w:t>1</w:t>
            </w:r>
            <w:r>
              <w:rPr>
                <w:rFonts w:hint="eastAsia" w:ascii="宋体" w:hAnsi="宋体" w:eastAsia="宋体"/>
                <w:spacing w:val="-1"/>
                <w:position w:val="-2"/>
                <w:sz w:val="21"/>
                <w:szCs w:val="21"/>
                <w:highlight w:val="none"/>
                <w:lang w:eastAsia="zh-CN"/>
              </w:rPr>
              <w:t>=0.</w:t>
            </w:r>
            <w:r>
              <w:rPr>
                <w:rFonts w:hint="eastAsia" w:ascii="宋体" w:hAnsi="宋体" w:eastAsia="宋体"/>
                <w:spacing w:val="-1"/>
                <w:position w:val="-2"/>
                <w:sz w:val="21"/>
                <w:szCs w:val="21"/>
                <w:highlight w:val="none"/>
                <w:lang w:val="en-US" w:eastAsia="zh-CN"/>
              </w:rPr>
              <w:t>2</w:t>
            </w:r>
            <w:r>
              <w:rPr>
                <w:rFonts w:ascii="宋体" w:hAnsi="宋体" w:eastAsia="宋体" w:cs="宋体"/>
                <w:spacing w:val="-1"/>
                <w:sz w:val="21"/>
                <w:szCs w:val="21"/>
                <w:highlight w:val="none"/>
                <w:lang w:eastAsia="zh-CN"/>
              </w:rPr>
              <w:t>、</w:t>
            </w:r>
            <w:r>
              <w:rPr>
                <w:rFonts w:ascii="宋体" w:hAnsi="宋体" w:eastAsia="宋体"/>
                <w:spacing w:val="-1"/>
                <w:sz w:val="21"/>
                <w:szCs w:val="21"/>
                <w:highlight w:val="none"/>
                <w:lang w:eastAsia="zh-CN"/>
              </w:rPr>
              <w:t>E</w:t>
            </w:r>
            <w:r>
              <w:rPr>
                <w:rFonts w:ascii="宋体" w:hAnsi="宋体" w:eastAsia="宋体"/>
                <w:spacing w:val="-1"/>
                <w:position w:val="-2"/>
                <w:sz w:val="21"/>
                <w:szCs w:val="21"/>
                <w:highlight w:val="none"/>
                <w:lang w:eastAsia="zh-CN"/>
              </w:rPr>
              <w:t>2</w:t>
            </w:r>
            <w:r>
              <w:rPr>
                <w:rFonts w:hint="eastAsia" w:ascii="宋体" w:hAnsi="宋体" w:eastAsia="宋体"/>
                <w:spacing w:val="-1"/>
                <w:position w:val="-2"/>
                <w:sz w:val="21"/>
                <w:szCs w:val="21"/>
                <w:highlight w:val="none"/>
                <w:lang w:eastAsia="zh-CN"/>
              </w:rPr>
              <w:t>=0.</w:t>
            </w:r>
            <w:r>
              <w:rPr>
                <w:rFonts w:hint="eastAsia" w:ascii="宋体" w:hAnsi="宋体" w:eastAsia="宋体"/>
                <w:spacing w:val="-1"/>
                <w:position w:val="-2"/>
                <w:sz w:val="21"/>
                <w:szCs w:val="21"/>
                <w:highlight w:val="none"/>
                <w:lang w:val="en-US" w:eastAsia="zh-CN"/>
              </w:rPr>
              <w:t>1</w:t>
            </w:r>
            <w:r>
              <w:rPr>
                <w:rFonts w:hint="eastAsia" w:ascii="宋体" w:hAnsi="宋体" w:eastAsia="宋体"/>
                <w:spacing w:val="-1"/>
                <w:position w:val="-2"/>
                <w:sz w:val="21"/>
                <w:szCs w:val="21"/>
                <w:highlight w:val="none"/>
                <w:lang w:eastAsia="zh-CN"/>
              </w:rPr>
              <w:t>。</w:t>
            </w:r>
          </w:p>
        </w:tc>
      </w:tr>
    </w:tbl>
    <w:p>
      <w:pPr>
        <w:snapToGrid w:val="0"/>
        <w:spacing w:line="360" w:lineRule="exact"/>
        <w:rPr>
          <w:rFonts w:ascii="宋体" w:hAnsi="宋体"/>
          <w:sz w:val="21"/>
          <w:szCs w:val="21"/>
        </w:rPr>
      </w:pPr>
    </w:p>
    <w:p>
      <w:pPr>
        <w:snapToGrid w:val="0"/>
        <w:spacing w:line="336" w:lineRule="auto"/>
        <w:ind w:firstLine="420" w:firstLineChars="200"/>
        <w:rPr>
          <w:rFonts w:hint="eastAsia" w:ascii="宋体" w:hAnsi="宋体"/>
          <w:sz w:val="21"/>
          <w:szCs w:val="21"/>
          <w:lang w:val="en-US" w:eastAsia="zh-CN"/>
        </w:rPr>
      </w:pPr>
      <w:r>
        <w:rPr>
          <w:rFonts w:hint="eastAsia" w:ascii="宋体" w:hAnsi="宋体"/>
          <w:sz w:val="21"/>
          <w:szCs w:val="21"/>
          <w:lang w:eastAsia="zh-CN"/>
        </w:rPr>
        <w:t>（</w:t>
      </w:r>
      <w:r>
        <w:rPr>
          <w:rFonts w:hint="eastAsia" w:ascii="宋体" w:hAnsi="宋体"/>
          <w:sz w:val="21"/>
          <w:szCs w:val="21"/>
          <w:lang w:val="en-US" w:eastAsia="zh-CN"/>
        </w:rPr>
        <w:t>4</w:t>
      </w:r>
      <w:r>
        <w:rPr>
          <w:rFonts w:hint="eastAsia" w:ascii="宋体" w:hAnsi="宋体"/>
          <w:sz w:val="21"/>
          <w:szCs w:val="21"/>
          <w:lang w:eastAsia="zh-CN"/>
        </w:rPr>
        <w:t>）</w:t>
      </w:r>
      <w:r>
        <w:rPr>
          <w:rFonts w:hint="eastAsia" w:ascii="宋体" w:hAnsi="宋体"/>
          <w:sz w:val="21"/>
          <w:szCs w:val="21"/>
        </w:rPr>
        <w:t>计算</w:t>
      </w:r>
      <w:r>
        <w:rPr>
          <w:rFonts w:hint="eastAsia" w:ascii="宋体" w:hAnsi="宋体"/>
          <w:sz w:val="21"/>
          <w:szCs w:val="21"/>
          <w:lang w:val="en-US" w:eastAsia="zh-CN"/>
        </w:rPr>
        <w:t>综合</w:t>
      </w:r>
      <w:r>
        <w:rPr>
          <w:rFonts w:hint="eastAsia" w:ascii="宋体" w:hAnsi="宋体"/>
          <w:sz w:val="21"/>
          <w:szCs w:val="21"/>
        </w:rPr>
        <w:t>得分：</w:t>
      </w:r>
      <w:r>
        <w:rPr>
          <w:rFonts w:hint="eastAsia" w:ascii="宋体" w:hAnsi="宋体"/>
          <w:sz w:val="21"/>
          <w:szCs w:val="21"/>
          <w:lang w:val="en-US" w:eastAsia="zh-CN"/>
        </w:rPr>
        <w:t>综合</w:t>
      </w:r>
      <w:r>
        <w:rPr>
          <w:rFonts w:hint="eastAsia" w:ascii="宋体" w:hAnsi="宋体"/>
          <w:sz w:val="21"/>
          <w:szCs w:val="21"/>
        </w:rPr>
        <w:t>得分</w:t>
      </w:r>
      <w:r>
        <w:rPr>
          <w:rFonts w:hint="eastAsia" w:ascii="宋体" w:hAnsi="宋体"/>
          <w:sz w:val="21"/>
          <w:szCs w:val="21"/>
          <w:lang w:val="en-US" w:eastAsia="zh-CN"/>
        </w:rPr>
        <w:t>=</w:t>
      </w:r>
      <w:r>
        <w:rPr>
          <w:rFonts w:hint="eastAsia" w:ascii="宋体" w:hAnsi="宋体"/>
          <w:sz w:val="21"/>
          <w:szCs w:val="21"/>
        </w:rPr>
        <w:t>技术评审</w:t>
      </w:r>
      <w:r>
        <w:rPr>
          <w:rFonts w:hint="eastAsia" w:ascii="宋体" w:hAnsi="宋体"/>
          <w:sz w:val="21"/>
          <w:szCs w:val="21"/>
          <w:lang w:val="en-US" w:eastAsia="zh-CN"/>
        </w:rPr>
        <w:t>得分+单位及人员能力评审得分+报价评审得分</w:t>
      </w:r>
    </w:p>
    <w:p>
      <w:pPr>
        <w:numPr>
          <w:ilvl w:val="0"/>
          <w:numId w:val="0"/>
        </w:numPr>
        <w:tabs>
          <w:tab w:val="left" w:pos="1736"/>
        </w:tabs>
        <w:adjustRightInd w:val="0"/>
        <w:snapToGrid w:val="0"/>
        <w:spacing w:line="336" w:lineRule="auto"/>
        <w:ind w:firstLine="420" w:firstLineChars="200"/>
        <w:rPr>
          <w:rFonts w:hint="default" w:ascii="宋体" w:hAnsi="宋体" w:eastAsia="宋体"/>
          <w:snapToGrid w:val="0"/>
          <w:kern w:val="0"/>
          <w:szCs w:val="21"/>
          <w:lang w:val="en-US" w:eastAsia="zh-CN"/>
        </w:rPr>
      </w:pPr>
      <w:r>
        <w:rPr>
          <w:rFonts w:hint="eastAsia" w:ascii="宋体" w:hAnsi="宋体"/>
          <w:sz w:val="21"/>
          <w:szCs w:val="21"/>
          <w:lang w:val="en-US" w:eastAsia="zh-CN"/>
        </w:rPr>
        <w:t>（5）各得分均保留至小数点后两位。</w:t>
      </w:r>
    </w:p>
    <w:p>
      <w:pPr>
        <w:numPr>
          <w:ilvl w:val="0"/>
          <w:numId w:val="0"/>
        </w:numPr>
        <w:tabs>
          <w:tab w:val="left" w:pos="1736"/>
        </w:tabs>
        <w:adjustRightInd w:val="0"/>
        <w:snapToGrid w:val="0"/>
        <w:spacing w:line="336" w:lineRule="auto"/>
        <w:ind w:firstLine="420" w:firstLineChars="200"/>
        <w:rPr>
          <w:rFonts w:hint="eastAsia" w:ascii="宋体" w:hAnsi="宋体"/>
          <w:snapToGrid w:val="0"/>
          <w:kern w:val="0"/>
          <w:szCs w:val="21"/>
        </w:rPr>
      </w:pPr>
      <w:r>
        <w:rPr>
          <w:rFonts w:hint="eastAsia" w:ascii="宋体" w:hAnsi="宋体" w:eastAsia="宋体" w:cs="Times New Roman"/>
          <w:b w:val="0"/>
          <w:bCs w:val="0"/>
          <w:sz w:val="21"/>
          <w:szCs w:val="21"/>
          <w:lang w:val="en-US" w:eastAsia="zh-CN" w:bidi="ar-SA"/>
        </w:rPr>
        <w:t>9、推荐中标候选人</w:t>
      </w:r>
    </w:p>
    <w:p>
      <w:pPr>
        <w:snapToGrid w:val="0"/>
        <w:spacing w:line="336" w:lineRule="auto"/>
        <w:ind w:firstLine="420" w:firstLineChars="200"/>
        <w:rPr>
          <w:rFonts w:hint="eastAsia" w:ascii="宋体" w:hAnsi="宋体"/>
          <w:szCs w:val="21"/>
        </w:rPr>
      </w:pPr>
      <w:r>
        <w:rPr>
          <w:rFonts w:hint="eastAsia" w:ascii="宋体" w:hAnsi="宋体"/>
          <w:sz w:val="21"/>
          <w:szCs w:val="21"/>
          <w:lang w:val="en-US" w:eastAsia="zh-CN"/>
        </w:rPr>
        <w:t>（1）</w:t>
      </w:r>
      <w:r>
        <w:rPr>
          <w:rFonts w:hint="eastAsia" w:ascii="宋体" w:hAnsi="宋体"/>
          <w:sz w:val="21"/>
          <w:szCs w:val="21"/>
          <w:lang w:eastAsia="zh-CN"/>
        </w:rPr>
        <w:t>评标委员会按照</w:t>
      </w:r>
      <w:r>
        <w:rPr>
          <w:rFonts w:hint="eastAsia" w:ascii="宋体" w:hAnsi="宋体"/>
          <w:sz w:val="21"/>
          <w:szCs w:val="21"/>
          <w:lang w:val="en-US" w:eastAsia="zh-CN"/>
        </w:rPr>
        <w:t>综合得分</w:t>
      </w:r>
      <w:r>
        <w:rPr>
          <w:rFonts w:hint="eastAsia" w:ascii="宋体" w:hAnsi="宋体"/>
          <w:sz w:val="21"/>
          <w:szCs w:val="21"/>
          <w:lang w:eastAsia="zh-CN"/>
        </w:rPr>
        <w:t>由高到低的顺序进行排序并推荐中标候选人，推荐</w:t>
      </w:r>
      <w:r>
        <w:rPr>
          <w:rFonts w:hint="eastAsia" w:ascii="宋体" w:hAnsi="宋体"/>
          <w:sz w:val="21"/>
          <w:szCs w:val="21"/>
          <w:lang w:val="en-US" w:eastAsia="zh-CN"/>
        </w:rPr>
        <w:t>综合得分</w:t>
      </w:r>
      <w:r>
        <w:rPr>
          <w:rFonts w:hint="eastAsia" w:ascii="宋体" w:hAnsi="宋体"/>
          <w:sz w:val="21"/>
          <w:szCs w:val="21"/>
          <w:lang w:eastAsia="zh-CN"/>
        </w:rPr>
        <w:t>排序第一名为第一中标候选人，第二、第三名依次为第二中标候选人、第三中标候选人。</w:t>
      </w:r>
      <w:r>
        <w:rPr>
          <w:rFonts w:hint="eastAsia" w:ascii="宋体" w:hAnsi="宋体"/>
          <w:sz w:val="21"/>
          <w:szCs w:val="21"/>
          <w:lang w:val="en-US" w:eastAsia="zh-CN"/>
        </w:rPr>
        <w:t>综合得分相等时，以评标价较低者排名在前；</w:t>
      </w:r>
      <w:r>
        <w:rPr>
          <w:rFonts w:hint="eastAsia" w:ascii="宋体" w:hAnsi="宋体"/>
          <w:sz w:val="21"/>
          <w:szCs w:val="21"/>
          <w:lang w:eastAsia="zh-CN"/>
        </w:rPr>
        <w:t>评标价相等时，以企业注册资本金较大的优先；仍不能确定的，由招标人代表通过抽签确定。</w:t>
      </w:r>
    </w:p>
    <w:p>
      <w:pPr>
        <w:snapToGrid w:val="0"/>
        <w:spacing w:line="336" w:lineRule="auto"/>
        <w:ind w:firstLine="420" w:firstLineChars="200"/>
        <w:rPr>
          <w:rFonts w:hint="eastAsia" w:ascii="宋体" w:hAnsi="宋体"/>
          <w:sz w:val="21"/>
          <w:szCs w:val="21"/>
          <w:lang w:val="en-US" w:eastAsia="zh-CN"/>
        </w:rPr>
      </w:pPr>
      <w:r>
        <w:rPr>
          <w:rFonts w:hint="eastAsia" w:ascii="宋体" w:hAnsi="宋体"/>
          <w:sz w:val="21"/>
          <w:szCs w:val="21"/>
          <w:lang w:val="en-US" w:eastAsia="zh-CN"/>
        </w:rPr>
        <w:t>（2）如果评标委员会认为在评标过程中有影响最终评标结果的不能确定的特殊问题，应在评标报告中记载，提请招标人审议决定。</w:t>
      </w:r>
    </w:p>
    <w:p>
      <w:pPr>
        <w:snapToGrid w:val="0"/>
        <w:spacing w:line="300" w:lineRule="auto"/>
        <w:ind w:firstLine="480" w:firstLineChars="200"/>
        <w:rPr>
          <w:rFonts w:hint="eastAsia" w:ascii="宋体" w:hAnsi="宋体"/>
          <w:snapToGrid w:val="0"/>
          <w:kern w:val="0"/>
          <w:szCs w:val="21"/>
        </w:rPr>
      </w:pPr>
    </w:p>
    <w:p>
      <w:pPr>
        <w:pStyle w:val="5"/>
        <w:numPr>
          <w:ilvl w:val="3"/>
          <w:numId w:val="0"/>
        </w:numPr>
        <w:snapToGrid w:val="0"/>
        <w:spacing w:before="0" w:after="0" w:line="336" w:lineRule="auto"/>
        <w:ind w:firstLine="420" w:firstLineChars="200"/>
        <w:jc w:val="both"/>
        <w:rPr>
          <w:rFonts w:hint="eastAsia"/>
        </w:rPr>
      </w:pPr>
      <w:bookmarkStart w:id="15" w:name="_Toc79813332"/>
      <w:bookmarkStart w:id="16" w:name="_Toc81021296"/>
      <w:bookmarkStart w:id="17" w:name="_Toc80853260"/>
      <w:bookmarkStart w:id="18" w:name="_Toc76194473"/>
      <w:bookmarkStart w:id="19" w:name="_Toc100635784"/>
      <w:bookmarkStart w:id="20" w:name="_Toc81032578"/>
      <w:r>
        <w:rPr>
          <w:rFonts w:hint="eastAsia" w:ascii="宋体" w:hAnsi="宋体" w:eastAsia="宋体" w:cs="Times New Roman"/>
          <w:b w:val="0"/>
          <w:bCs w:val="0"/>
          <w:sz w:val="21"/>
          <w:szCs w:val="21"/>
          <w:lang w:val="en-US" w:eastAsia="zh-CN" w:bidi="ar-SA"/>
        </w:rPr>
        <w:t>10、评标报告</w:t>
      </w:r>
      <w:bookmarkEnd w:id="15"/>
      <w:bookmarkEnd w:id="16"/>
      <w:bookmarkEnd w:id="17"/>
      <w:bookmarkEnd w:id="18"/>
      <w:bookmarkEnd w:id="19"/>
      <w:bookmarkEnd w:id="20"/>
    </w:p>
    <w:p>
      <w:pPr>
        <w:numPr>
          <w:ilvl w:val="0"/>
          <w:numId w:val="0"/>
        </w:numPr>
        <w:tabs>
          <w:tab w:val="left" w:pos="1736"/>
        </w:tabs>
        <w:adjustRightInd w:val="0"/>
        <w:snapToGrid w:val="0"/>
        <w:spacing w:line="336" w:lineRule="auto"/>
        <w:ind w:left="471" w:leftChars="0"/>
        <w:rPr>
          <w:rFonts w:hint="eastAsia" w:ascii="宋体" w:hAnsi="宋体" w:eastAsia="宋体" w:cs="Times New Roman"/>
          <w:b w:val="0"/>
          <w:bCs w:val="0"/>
          <w:sz w:val="21"/>
          <w:szCs w:val="21"/>
          <w:lang w:val="en-US" w:eastAsia="zh-CN" w:bidi="ar-SA"/>
        </w:rPr>
      </w:pPr>
      <w:r>
        <w:rPr>
          <w:rFonts w:hint="eastAsia" w:ascii="宋体" w:hAnsi="宋体"/>
          <w:sz w:val="21"/>
          <w:szCs w:val="21"/>
          <w:lang w:val="en-US" w:eastAsia="zh-CN"/>
        </w:rPr>
        <w:t>（1）如果评标委员会认为在评标过程中有影响最终评标结果的不能确定的特殊问题，应在评标报告中记载，提请招标人审议决定。</w:t>
      </w:r>
    </w:p>
    <w:p>
      <w:pPr>
        <w:numPr>
          <w:ilvl w:val="0"/>
          <w:numId w:val="0"/>
        </w:numPr>
        <w:tabs>
          <w:tab w:val="left" w:pos="1736"/>
        </w:tabs>
        <w:adjustRightInd w:val="0"/>
        <w:snapToGrid w:val="0"/>
        <w:spacing w:line="336" w:lineRule="auto"/>
        <w:ind w:left="471" w:leftChars="0"/>
        <w:rPr>
          <w:rFonts w:hint="eastAsia" w:ascii="宋体" w:hAnsi="宋体"/>
          <w:sz w:val="21"/>
          <w:szCs w:val="21"/>
          <w:lang w:val="en-US" w:eastAsia="zh-CN"/>
        </w:rPr>
      </w:pPr>
      <w:r>
        <w:rPr>
          <w:rFonts w:hint="eastAsia" w:ascii="宋体" w:hAnsi="宋体"/>
          <w:sz w:val="21"/>
          <w:szCs w:val="21"/>
          <w:lang w:val="en-US" w:eastAsia="zh-CN"/>
        </w:rPr>
        <w:t>（2）评标委员会完成评标后，应向招标人提出书面评标报告，评标报告应如实记载以下内容：</w:t>
      </w:r>
    </w:p>
    <w:p>
      <w:pPr>
        <w:numPr>
          <w:ilvl w:val="0"/>
          <w:numId w:val="0"/>
        </w:numPr>
        <w:tabs>
          <w:tab w:val="left" w:pos="1736"/>
        </w:tabs>
        <w:adjustRightInd w:val="0"/>
        <w:snapToGrid w:val="0"/>
        <w:spacing w:line="336" w:lineRule="auto"/>
        <w:ind w:left="471" w:leftChars="0"/>
        <w:rPr>
          <w:rFonts w:hint="eastAsia" w:ascii="宋体" w:hAnsi="宋体"/>
          <w:sz w:val="21"/>
          <w:szCs w:val="21"/>
          <w:lang w:val="en-US" w:eastAsia="zh-CN"/>
        </w:rPr>
      </w:pPr>
      <w:r>
        <w:rPr>
          <w:rFonts w:hint="eastAsia" w:ascii="宋体" w:hAnsi="宋体"/>
          <w:sz w:val="21"/>
          <w:szCs w:val="21"/>
          <w:lang w:val="en-US" w:eastAsia="zh-CN"/>
        </w:rPr>
        <w:t>①项目概况</w:t>
      </w:r>
    </w:p>
    <w:p>
      <w:pPr>
        <w:numPr>
          <w:ilvl w:val="0"/>
          <w:numId w:val="0"/>
        </w:numPr>
        <w:tabs>
          <w:tab w:val="left" w:pos="1736"/>
        </w:tabs>
        <w:adjustRightInd w:val="0"/>
        <w:snapToGrid w:val="0"/>
        <w:spacing w:line="336" w:lineRule="auto"/>
        <w:ind w:left="471" w:leftChars="0"/>
        <w:rPr>
          <w:rFonts w:hint="eastAsia" w:ascii="宋体" w:hAnsi="宋体"/>
          <w:sz w:val="21"/>
          <w:szCs w:val="21"/>
          <w:lang w:val="en-US" w:eastAsia="zh-CN"/>
        </w:rPr>
      </w:pPr>
      <w:r>
        <w:rPr>
          <w:rFonts w:hint="eastAsia" w:ascii="宋体" w:hAnsi="宋体"/>
          <w:sz w:val="21"/>
          <w:szCs w:val="21"/>
          <w:lang w:val="en-US" w:eastAsia="zh-CN"/>
        </w:rPr>
        <w:t>②招标过程</w:t>
      </w:r>
    </w:p>
    <w:p>
      <w:pPr>
        <w:numPr>
          <w:ilvl w:val="0"/>
          <w:numId w:val="0"/>
        </w:numPr>
        <w:tabs>
          <w:tab w:val="left" w:pos="1736"/>
        </w:tabs>
        <w:adjustRightInd w:val="0"/>
        <w:snapToGrid w:val="0"/>
        <w:spacing w:line="336" w:lineRule="auto"/>
        <w:ind w:left="471" w:leftChars="0"/>
        <w:rPr>
          <w:rFonts w:hint="eastAsia" w:ascii="宋体" w:hAnsi="宋体"/>
          <w:sz w:val="21"/>
          <w:szCs w:val="21"/>
          <w:lang w:val="en-US" w:eastAsia="zh-CN"/>
        </w:rPr>
      </w:pPr>
      <w:r>
        <w:rPr>
          <w:rFonts w:hint="eastAsia" w:ascii="宋体" w:hAnsi="宋体"/>
          <w:sz w:val="21"/>
          <w:szCs w:val="21"/>
          <w:lang w:val="en-US" w:eastAsia="zh-CN"/>
        </w:rPr>
        <w:t>③评标工作（包括评标委员会组成、评标标准与方法、评标过程，以及否决投标说明）；</w:t>
      </w:r>
    </w:p>
    <w:p>
      <w:pPr>
        <w:numPr>
          <w:ilvl w:val="0"/>
          <w:numId w:val="0"/>
        </w:numPr>
        <w:tabs>
          <w:tab w:val="left" w:pos="1736"/>
        </w:tabs>
        <w:adjustRightInd w:val="0"/>
        <w:snapToGrid w:val="0"/>
        <w:spacing w:line="336" w:lineRule="auto"/>
        <w:ind w:left="471" w:leftChars="0"/>
        <w:rPr>
          <w:rFonts w:hint="eastAsia" w:ascii="宋体" w:hAnsi="宋体"/>
          <w:sz w:val="21"/>
          <w:szCs w:val="21"/>
          <w:lang w:val="en-US" w:eastAsia="zh-CN"/>
        </w:rPr>
      </w:pPr>
      <w:r>
        <w:rPr>
          <w:rFonts w:hint="eastAsia" w:ascii="宋体" w:hAnsi="宋体"/>
          <w:sz w:val="21"/>
          <w:szCs w:val="21"/>
          <w:lang w:val="en-US" w:eastAsia="zh-CN"/>
        </w:rPr>
        <w:t>④评标结果；</w:t>
      </w:r>
    </w:p>
    <w:p>
      <w:pPr>
        <w:numPr>
          <w:ilvl w:val="0"/>
          <w:numId w:val="0"/>
        </w:numPr>
        <w:tabs>
          <w:tab w:val="left" w:pos="1736"/>
        </w:tabs>
        <w:adjustRightInd w:val="0"/>
        <w:snapToGrid w:val="0"/>
        <w:spacing w:line="336" w:lineRule="auto"/>
        <w:ind w:left="471" w:leftChars="0"/>
        <w:rPr>
          <w:rFonts w:ascii="宋体" w:hAnsi="宋体"/>
          <w:snapToGrid w:val="0"/>
          <w:kern w:val="0"/>
          <w:szCs w:val="21"/>
        </w:rPr>
      </w:pPr>
      <w:r>
        <w:rPr>
          <w:rFonts w:hint="eastAsia" w:ascii="宋体" w:hAnsi="宋体"/>
          <w:sz w:val="21"/>
          <w:szCs w:val="21"/>
          <w:lang w:val="en-US" w:eastAsia="zh-CN"/>
        </w:rPr>
        <w:t>⑤评标附表及有关澄清。</w:t>
      </w:r>
    </w:p>
    <w:p>
      <w:pPr>
        <w:numPr>
          <w:ilvl w:val="0"/>
          <w:numId w:val="0"/>
        </w:numPr>
        <w:tabs>
          <w:tab w:val="left" w:pos="1736"/>
        </w:tabs>
        <w:adjustRightInd w:val="0"/>
        <w:snapToGrid w:val="0"/>
        <w:spacing w:line="336" w:lineRule="auto"/>
        <w:ind w:left="471" w:leftChars="0"/>
        <w:rPr>
          <w:rFonts w:hint="eastAsia" w:ascii="宋体" w:hAnsi="宋体"/>
          <w:sz w:val="21"/>
          <w:szCs w:val="21"/>
          <w:lang w:val="en-US" w:eastAsia="zh-CN"/>
        </w:rPr>
      </w:pPr>
      <w:r>
        <w:rPr>
          <w:rFonts w:hint="eastAsia" w:ascii="宋体" w:hAnsi="宋体"/>
          <w:sz w:val="21"/>
          <w:szCs w:val="21"/>
          <w:lang w:val="en-US" w:eastAsia="zh-CN"/>
        </w:rPr>
        <w:t>（3）对评标结论有异议的评标委员会成员可以书面方式阐述其不同意见和理由。评标委员会成员拒绝在评标报告上签字且不陈述其不同意见和理由的，视为同意评标结论。评标委员会应对此做出书面说明并记录在案。</w:t>
      </w:r>
    </w:p>
    <w:bookmarkEnd w:id="8"/>
    <w:p>
      <w:pPr>
        <w:spacing w:line="360" w:lineRule="auto"/>
        <w:jc w:val="both"/>
        <w:outlineLvl w:val="0"/>
        <w:rPr>
          <w:rFonts w:ascii="宋体" w:hAnsi="宋体"/>
          <w:b/>
          <w:sz w:val="21"/>
          <w:szCs w:val="21"/>
        </w:rPr>
      </w:pPr>
      <w:r>
        <w:rPr>
          <w:rFonts w:ascii="宋体" w:hAnsi="宋体"/>
          <w:b/>
          <w:sz w:val="21"/>
          <w:szCs w:val="21"/>
        </w:rPr>
        <w:br w:type="page"/>
      </w:r>
      <w:bookmarkStart w:id="21" w:name="_Toc522545744"/>
      <w:r>
        <w:rPr>
          <w:rFonts w:hint="eastAsia" w:ascii="宋体" w:hAnsi="宋体"/>
          <w:b/>
          <w:sz w:val="21"/>
          <w:szCs w:val="21"/>
        </w:rPr>
        <w:t>附件1：合同主要条款（格式）</w:t>
      </w:r>
      <w:bookmarkEnd w:id="21"/>
    </w:p>
    <w:p>
      <w:pPr>
        <w:jc w:val="center"/>
        <w:rPr>
          <w:rFonts w:hint="eastAsia"/>
          <w:sz w:val="48"/>
          <w:szCs w:val="48"/>
        </w:rPr>
      </w:pPr>
    </w:p>
    <w:p>
      <w:pPr>
        <w:jc w:val="center"/>
        <w:rPr>
          <w:rFonts w:hint="eastAsia"/>
          <w:sz w:val="48"/>
          <w:szCs w:val="48"/>
        </w:rPr>
      </w:pPr>
    </w:p>
    <w:p>
      <w:pPr>
        <w:jc w:val="center"/>
        <w:rPr>
          <w:rFonts w:hint="eastAsia"/>
          <w:sz w:val="48"/>
          <w:szCs w:val="48"/>
        </w:rPr>
      </w:pPr>
      <w:r>
        <w:rPr>
          <w:rFonts w:hint="eastAsia"/>
          <w:sz w:val="48"/>
          <w:szCs w:val="48"/>
        </w:rPr>
        <w:t>技术咨询合同书</w:t>
      </w: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ind w:firstLine="900" w:firstLineChars="300"/>
        <w:jc w:val="left"/>
        <w:rPr>
          <w:rFonts w:hint="eastAsia"/>
          <w:sz w:val="30"/>
          <w:szCs w:val="30"/>
        </w:rPr>
      </w:pPr>
      <w:r>
        <w:rPr>
          <w:rFonts w:hint="eastAsia"/>
          <w:sz w:val="30"/>
          <w:szCs w:val="30"/>
        </w:rPr>
        <w:t>项目名称：</w:t>
      </w:r>
    </w:p>
    <w:p>
      <w:pPr>
        <w:ind w:firstLine="900" w:firstLineChars="300"/>
        <w:jc w:val="left"/>
        <w:rPr>
          <w:rFonts w:hint="eastAsia"/>
          <w:sz w:val="30"/>
          <w:szCs w:val="30"/>
        </w:rPr>
      </w:pPr>
    </w:p>
    <w:p>
      <w:pPr>
        <w:ind w:firstLine="900" w:firstLineChars="300"/>
        <w:jc w:val="left"/>
        <w:rPr>
          <w:rFonts w:hint="eastAsia"/>
          <w:sz w:val="30"/>
          <w:szCs w:val="30"/>
          <w:u w:val="single"/>
          <w:lang w:eastAsia="zh-CN"/>
        </w:rPr>
      </w:pPr>
      <w:r>
        <w:rPr>
          <w:rFonts w:hint="eastAsia"/>
          <w:sz w:val="30"/>
          <w:szCs w:val="30"/>
        </w:rPr>
        <w:t>委托方（甲方）：</w:t>
      </w:r>
    </w:p>
    <w:p>
      <w:pPr>
        <w:ind w:firstLine="900" w:firstLineChars="300"/>
        <w:jc w:val="left"/>
        <w:rPr>
          <w:rFonts w:hint="eastAsia"/>
          <w:sz w:val="30"/>
          <w:szCs w:val="30"/>
          <w:u w:val="single"/>
          <w:lang w:eastAsia="zh-CN"/>
        </w:rPr>
      </w:pPr>
    </w:p>
    <w:p>
      <w:pPr>
        <w:ind w:firstLine="900" w:firstLineChars="300"/>
        <w:jc w:val="left"/>
        <w:rPr>
          <w:rFonts w:hint="eastAsia"/>
          <w:sz w:val="30"/>
          <w:szCs w:val="30"/>
          <w:u w:val="single"/>
        </w:rPr>
      </w:pPr>
      <w:r>
        <w:rPr>
          <w:rFonts w:hint="eastAsia"/>
          <w:sz w:val="30"/>
          <w:szCs w:val="30"/>
        </w:rPr>
        <w:t>受托方（乙方）：</w:t>
      </w:r>
    </w:p>
    <w:p>
      <w:pPr>
        <w:ind w:firstLine="360" w:firstLineChars="120"/>
        <w:rPr>
          <w:rFonts w:hint="eastAsia"/>
          <w:sz w:val="30"/>
          <w:szCs w:val="30"/>
        </w:rPr>
      </w:pPr>
    </w:p>
    <w:p>
      <w:pPr>
        <w:rPr>
          <w:rFonts w:hint="eastAsia"/>
          <w:sz w:val="30"/>
          <w:szCs w:val="30"/>
        </w:rPr>
      </w:pPr>
    </w:p>
    <w:p>
      <w:pPr>
        <w:rPr>
          <w:rFonts w:hint="eastAsia"/>
          <w:sz w:val="30"/>
          <w:szCs w:val="30"/>
        </w:rPr>
      </w:pPr>
    </w:p>
    <w:p>
      <w:pPr>
        <w:ind w:firstLine="837" w:firstLineChars="279"/>
        <w:rPr>
          <w:rFonts w:hint="eastAsia"/>
          <w:sz w:val="30"/>
          <w:szCs w:val="30"/>
        </w:rPr>
      </w:pPr>
      <w:r>
        <w:rPr>
          <w:rFonts w:hint="eastAsia"/>
          <w:sz w:val="30"/>
          <w:szCs w:val="30"/>
        </w:rPr>
        <w:t>签订日期：</w:t>
      </w:r>
    </w:p>
    <w:p>
      <w:pPr>
        <w:ind w:firstLine="540" w:firstLineChars="180"/>
        <w:rPr>
          <w:rFonts w:hint="eastAsia"/>
          <w:sz w:val="30"/>
          <w:szCs w:val="30"/>
        </w:rPr>
      </w:pPr>
    </w:p>
    <w:p>
      <w:pPr>
        <w:ind w:firstLine="837" w:firstLineChars="279"/>
        <w:rPr>
          <w:rFonts w:hint="eastAsia"/>
          <w:sz w:val="30"/>
          <w:szCs w:val="30"/>
        </w:rPr>
      </w:pPr>
      <w:r>
        <w:rPr>
          <w:rFonts w:hint="eastAsia"/>
          <w:sz w:val="30"/>
          <w:szCs w:val="30"/>
        </w:rPr>
        <w:t>签订地点：</w:t>
      </w:r>
    </w:p>
    <w:p>
      <w:pPr>
        <w:rPr>
          <w:rFonts w:hint="eastAsia"/>
          <w:sz w:val="30"/>
          <w:szCs w:val="30"/>
        </w:rPr>
      </w:pPr>
    </w:p>
    <w:p>
      <w:pPr>
        <w:pageBreakBefore w:val="0"/>
        <w:widowControl w:val="0"/>
        <w:kinsoku/>
        <w:wordWrap/>
        <w:overflowPunct/>
        <w:topLinePunct w:val="0"/>
        <w:autoSpaceDE/>
        <w:autoSpaceDN/>
        <w:bidi w:val="0"/>
        <w:adjustRightInd w:val="0"/>
        <w:snapToGrid w:val="0"/>
        <w:spacing w:line="360" w:lineRule="auto"/>
        <w:ind w:firstLine="600" w:firstLineChars="200"/>
        <w:rPr>
          <w:rFonts w:hint="eastAsia" w:ascii="宋体" w:hAnsi="宋体" w:eastAsia="宋体" w:cs="宋体"/>
          <w:sz w:val="21"/>
          <w:szCs w:val="21"/>
          <w:u w:val="single"/>
        </w:rPr>
      </w:pPr>
      <w:r>
        <w:rPr>
          <w:rFonts w:hint="eastAsia"/>
          <w:sz w:val="30"/>
          <w:szCs w:val="30"/>
        </w:rPr>
        <w:br w:type="page"/>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rPr>
        <w:t>（以下简称“甲方”）委托</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（以下简称“乙方”）以甲方名义协助开展</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特许经营项目（以下简称“本项目”）相关工作。</w:t>
      </w:r>
      <w:bookmarkStart w:id="22" w:name="_Hlk507595890"/>
      <w:r>
        <w:rPr>
          <w:rFonts w:hint="eastAsia" w:ascii="宋体" w:hAnsi="宋体" w:eastAsia="宋体" w:cs="宋体"/>
          <w:sz w:val="21"/>
          <w:szCs w:val="21"/>
        </w:rPr>
        <w:t>现经双方平等协商，在真实充分地表达各自意愿的基础上，依据《中华人民共和国合同法》、《中华人民共和国采购招标法》的规定，双方就</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特许经营项目的技术咨询服务协商一致，签订本合同。</w:t>
      </w:r>
      <w:bookmarkEnd w:id="22"/>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一、</w:t>
      </w:r>
      <w:r>
        <w:rPr>
          <w:rFonts w:hint="eastAsia" w:ascii="宋体" w:hAnsi="宋体" w:eastAsia="宋体" w:cs="宋体"/>
          <w:sz w:val="21"/>
          <w:szCs w:val="21"/>
        </w:rPr>
        <w:t>项目概况</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项目名称</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本项目名称为：</w:t>
      </w:r>
      <w:r>
        <w:rPr>
          <w:rFonts w:hint="eastAsia" w:ascii="宋体" w:hAnsi="宋体" w:eastAsia="宋体" w:cs="宋体"/>
          <w:sz w:val="21"/>
          <w:szCs w:val="21"/>
          <w:lang w:eastAsia="zh-CN"/>
        </w:rPr>
        <w:t xml:space="preserve">       </w:t>
      </w:r>
      <w:r>
        <w:rPr>
          <w:rFonts w:hint="eastAsia" w:ascii="宋体" w:hAnsi="宋体" w:eastAsia="宋体" w:cs="宋体"/>
          <w:sz w:val="21"/>
          <w:szCs w:val="21"/>
        </w:rPr>
        <w:t>特许经营项目。</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项目投资</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项目总投资概算暂定为</w:t>
      </w:r>
      <w:r>
        <w:rPr>
          <w:rFonts w:hint="eastAsia" w:ascii="宋体" w:hAnsi="宋体" w:eastAsia="宋体" w:cs="宋体"/>
          <w:sz w:val="21"/>
          <w:szCs w:val="21"/>
          <w:u w:val="single"/>
        </w:rPr>
        <w:t xml:space="preserve">     亿</w:t>
      </w:r>
      <w:r>
        <w:rPr>
          <w:rFonts w:hint="eastAsia" w:ascii="宋体" w:hAnsi="宋体" w:eastAsia="宋体" w:cs="宋体"/>
          <w:sz w:val="21"/>
          <w:szCs w:val="21"/>
        </w:rPr>
        <w:t>元。</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项目内容</w:t>
      </w:r>
    </w:p>
    <w:p>
      <w:pPr>
        <w:pageBreakBefore w:val="0"/>
        <w:widowControl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二、</w:t>
      </w:r>
      <w:r>
        <w:rPr>
          <w:rFonts w:hint="eastAsia" w:ascii="宋体" w:hAnsi="宋体" w:eastAsia="宋体" w:cs="宋体"/>
          <w:sz w:val="21"/>
          <w:szCs w:val="21"/>
        </w:rPr>
        <w:t>咨询服务的内容、形式和要求</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委托服务</w:t>
      </w:r>
    </w:p>
    <w:p>
      <w:pPr>
        <w:pageBreakBefore w:val="0"/>
        <w:widowControl w:val="0"/>
        <w:kinsoku/>
        <w:wordWrap/>
        <w:overflowPunct/>
        <w:topLinePunct w:val="0"/>
        <w:autoSpaceDE/>
        <w:autoSpaceDN/>
        <w:bidi w:val="0"/>
        <w:adjustRightInd w:val="0"/>
        <w:snapToGrid w:val="0"/>
        <w:spacing w:line="360" w:lineRule="auto"/>
        <w:ind w:firstLine="420" w:firstLineChars="200"/>
        <w:textAlignment w:val="baseline"/>
        <w:rPr>
          <w:rFonts w:hint="eastAsia" w:ascii="宋体" w:hAnsi="宋体" w:eastAsia="宋体" w:cs="宋体"/>
          <w:kern w:val="0"/>
          <w:sz w:val="21"/>
          <w:szCs w:val="21"/>
        </w:rPr>
      </w:pPr>
      <w:r>
        <w:rPr>
          <w:rFonts w:hint="eastAsia" w:ascii="宋体" w:hAnsi="宋体" w:eastAsia="宋体" w:cs="宋体"/>
          <w:kern w:val="0"/>
          <w:sz w:val="21"/>
          <w:szCs w:val="21"/>
        </w:rPr>
        <w:t>甲方委托乙方根据《中华人民共和国合同法》、《中华人民共和国民法通则》及其他相关法律法规要求，结合项目实际情况，对</w:t>
      </w:r>
      <w:r>
        <w:rPr>
          <w:rFonts w:hint="eastAsia" w:ascii="宋体" w:hAnsi="宋体" w:eastAsia="宋体" w:cs="宋体"/>
          <w:sz w:val="21"/>
          <w:szCs w:val="21"/>
          <w:lang w:eastAsia="zh-CN"/>
        </w:rPr>
        <w:t xml:space="preserve">       </w:t>
      </w:r>
      <w:r>
        <w:rPr>
          <w:rFonts w:hint="eastAsia" w:ascii="宋体" w:hAnsi="宋体" w:eastAsia="宋体" w:cs="宋体"/>
          <w:sz w:val="21"/>
          <w:szCs w:val="21"/>
        </w:rPr>
        <w:t>特许经营项目</w:t>
      </w:r>
      <w:r>
        <w:rPr>
          <w:rFonts w:hint="eastAsia" w:ascii="宋体" w:hAnsi="宋体" w:eastAsia="宋体" w:cs="宋体"/>
          <w:kern w:val="0"/>
          <w:sz w:val="21"/>
          <w:szCs w:val="21"/>
        </w:rPr>
        <w:t>服务。</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咨询服务内容</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乙方为</w:t>
      </w:r>
      <w:r>
        <w:rPr>
          <w:rFonts w:hint="eastAsia" w:ascii="宋体" w:hAnsi="宋体" w:eastAsia="宋体" w:cs="宋体"/>
          <w:sz w:val="21"/>
          <w:szCs w:val="21"/>
          <w:u w:val="single"/>
          <w:lang w:eastAsia="zh-CN"/>
        </w:rPr>
        <w:t xml:space="preserve">       </w:t>
      </w:r>
      <w:r>
        <w:rPr>
          <w:rFonts w:hint="eastAsia" w:ascii="宋体" w:hAnsi="宋体" w:eastAsia="宋体" w:cs="宋体"/>
          <w:sz w:val="21"/>
          <w:szCs w:val="21"/>
        </w:rPr>
        <w:t>特许经营项目提供的咨询服务，包括：</w:t>
      </w:r>
    </w:p>
    <w:p>
      <w:pPr>
        <w:pStyle w:val="4"/>
        <w:pageBreakBefore w:val="0"/>
        <w:widowControl w:val="0"/>
        <w:kinsoku/>
        <w:wordWrap/>
        <w:overflowPunct/>
        <w:topLinePunct w:val="0"/>
        <w:autoSpaceDE/>
        <w:autoSpaceDN/>
        <w:bidi w:val="0"/>
        <w:adjustRightInd w:val="0"/>
        <w:snapToGrid w:val="0"/>
        <w:spacing w:before="0" w:after="0" w:line="360" w:lineRule="auto"/>
        <w:ind w:firstLine="422" w:firstLineChars="200"/>
        <w:jc w:val="both"/>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编制、报审本项目《特许经营实施方案》。具体工作为：</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在工可研究成果和独立调查、研究、分析、测算、征求意见的基础上，编制《特许经营实施方案》。</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(1)项目概况。项目的基本情况、主要技术经济指标、项目推进的基本思路、前期工作进展、本项目拟定的实施机构等。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(2)可行性分析。即项目采用特许经营方式必要性与可行性的论证，论证能否降低全寿命周期成本、提高服务效率及质量等。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(3)交易结构。特许经营期限、总体交易框架、项目的投融资结构、监督机制、相关配套安排以及特许经营的解除机制等。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(4)风险分配基本框架。项目风险的分析、风险分配的原则和基本方案，并给出风险应对措施等。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(5)投资回报。交通量及收费收入预测、项目的回报机制、回报水平、回报价格测算及政府保障等。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(6)合同体系。合同体系的构成、政府对各类合同的管控思路，并对特许经营协议的构成部分及关键内容进行提示等。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(7)采购方式选择。特许经营者应当具备的条件、选择方式、采购的实施步骤及初步时间安排等。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(8)资产处置。特许经营期内项目资产的权属、社会资本退出方式、特许经营期满后资产的处置方式等。</w:t>
      </w:r>
    </w:p>
    <w:p>
      <w:pPr>
        <w:pageBreakBefore w:val="0"/>
        <w:widowControl w:val="0"/>
        <w:kinsoku/>
        <w:wordWrap/>
        <w:overflowPunct/>
        <w:topLinePunct w:val="0"/>
        <w:autoSpaceDE/>
        <w:autoSpaceDN/>
        <w:bidi w:val="0"/>
        <w:adjustRightInd w:val="0"/>
        <w:snapToGrid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其他内容</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2.2编制《特许经营协议》。</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2.3配合甲方开展社会资本征集工作。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2.4配合甲方组织《特许经营实施方案》、《特许经营协议》的征求相关部门意见、专家论证和上报审查工作。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3、咨询服务期</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b/>
          <w:bCs/>
          <w:sz w:val="21"/>
          <w:szCs w:val="21"/>
          <w:lang w:val="en-US" w:eastAsia="zh-CN"/>
        </w:rPr>
      </w:pP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三、</w:t>
      </w:r>
      <w:r>
        <w:rPr>
          <w:rFonts w:hint="eastAsia" w:ascii="宋体" w:hAnsi="宋体" w:eastAsia="宋体" w:cs="宋体"/>
          <w:b/>
          <w:sz w:val="21"/>
          <w:szCs w:val="21"/>
          <w:lang w:val="en-US" w:eastAsia="zh-CN"/>
        </w:rPr>
        <w:t>甲方</w:t>
      </w:r>
      <w:r>
        <w:rPr>
          <w:rFonts w:hint="eastAsia" w:ascii="宋体" w:hAnsi="宋体" w:eastAsia="宋体" w:cs="宋体"/>
          <w:b/>
          <w:bCs/>
          <w:sz w:val="21"/>
          <w:szCs w:val="21"/>
        </w:rPr>
        <w:t>权利与义务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甲方可向乙方索取与委托内容对应的工作成果。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甲方可向乙方询问委托工作进展情况。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甲方应向乙方阐述工程及具体内容的意见。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甲方应向乙方及时提供工程所需的有关书面意见。</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甲方为乙方的工作开展提供必要的配合。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甲方须按约定接收乙方提交的工作成果。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甲方须按约及时向乙方支付咨询服务费用。</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四、</w:t>
      </w:r>
      <w:r>
        <w:rPr>
          <w:rFonts w:hint="eastAsia" w:ascii="宋体" w:hAnsi="宋体" w:eastAsia="宋体" w:cs="宋体"/>
          <w:b/>
          <w:bCs/>
          <w:sz w:val="21"/>
          <w:szCs w:val="21"/>
        </w:rPr>
        <w:t>乙方权利与义务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乙方可向甲方索取与委托内容有关的各类资料。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乙方可向甲方对有关问题作出解释和补充有关资料。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乙方可要求甲方在工作开展中提供必要的配合。</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乙方应保证在委托工作中遵循公平、公正、公开及合法的原则，认真、细致、周到的进行服务工作。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若由于甲方未按合同约定及时履行付款义务，乙方有权不提交工作成果，由此引起的项目进程滞后责任在甲方。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乙方提供正式报告文本各</w:t>
      </w:r>
      <w:r>
        <w:rPr>
          <w:rFonts w:hint="eastAsia" w:ascii="宋体" w:hAnsi="宋体" w:eastAsia="宋体" w:cs="宋体"/>
          <w:sz w:val="21"/>
          <w:szCs w:val="21"/>
          <w:u w:val="single"/>
        </w:rPr>
        <w:t xml:space="preserve"> 四 </w:t>
      </w:r>
      <w:r>
        <w:rPr>
          <w:rFonts w:hint="eastAsia" w:ascii="宋体" w:hAnsi="宋体" w:eastAsia="宋体" w:cs="宋体"/>
          <w:sz w:val="21"/>
          <w:szCs w:val="21"/>
        </w:rPr>
        <w:t>份，并提供电子文本。若甲方需要乙方另行提供文本，则按照每本</w:t>
      </w:r>
      <w:r>
        <w:rPr>
          <w:rFonts w:hint="eastAsia" w:ascii="宋体" w:hAnsi="宋体" w:eastAsia="宋体" w:cs="宋体"/>
          <w:sz w:val="21"/>
          <w:szCs w:val="21"/>
          <w:u w:val="single"/>
        </w:rPr>
        <w:t xml:space="preserve"> 100 </w:t>
      </w:r>
      <w:r>
        <w:rPr>
          <w:rFonts w:hint="eastAsia" w:ascii="宋体" w:hAnsi="宋体" w:eastAsia="宋体" w:cs="宋体"/>
          <w:sz w:val="21"/>
          <w:szCs w:val="21"/>
        </w:rPr>
        <w:t>元收取相关的费用。</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五、</w:t>
      </w:r>
      <w:r>
        <w:rPr>
          <w:rFonts w:hint="eastAsia" w:ascii="宋体" w:hAnsi="宋体" w:eastAsia="宋体" w:cs="宋体"/>
          <w:b/>
          <w:bCs/>
          <w:sz w:val="21"/>
          <w:szCs w:val="21"/>
        </w:rPr>
        <w:t>咨询费用及支付方式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咨询服务合同总价为</w:t>
      </w:r>
      <w:r>
        <w:rPr>
          <w:rFonts w:hint="eastAsia" w:ascii="宋体" w:hAnsi="宋体" w:eastAsia="宋体" w:cs="宋体"/>
          <w:sz w:val="21"/>
          <w:szCs w:val="21"/>
          <w:u w:val="single"/>
        </w:rPr>
        <w:t xml:space="preserve">        </w:t>
      </w:r>
      <w:r>
        <w:rPr>
          <w:rFonts w:hint="eastAsia" w:ascii="宋体" w:hAnsi="宋体" w:eastAsia="宋体" w:cs="宋体"/>
          <w:sz w:val="21"/>
          <w:szCs w:val="21"/>
        </w:rPr>
        <w:t>元（大写：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咨询服务费支付节点及支付方式</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乙方向甲方提交《特许经营初步实施方案》后10个工作日内，甲方向乙方支付咨询服务费的</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乙方协助甲方完成社会资本征集，提交《社会资本征集情况报告》后10个工作日内，甲方向乙方支付咨询服务费的</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《特许经营实施方案》经政府批准同意后，甲方向乙方支付咨询服务费的</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《特许经营协议》通过专家论证审查后，甲方向乙方支付咨询服务费的</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0%。</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在特殊情况下，若本项目咨询服务项目工作量极大、花费工作时间极长时，双方可通过沟通，在甲方同意的情况下相应增补部分费用。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其它费用约定</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咨询服务过程中，</w:t>
      </w:r>
      <w:r>
        <w:rPr>
          <w:rFonts w:hint="eastAsia" w:ascii="宋体" w:hAnsi="宋体" w:eastAsia="宋体" w:cs="宋体"/>
          <w:sz w:val="21"/>
          <w:szCs w:val="21"/>
          <w:lang w:val="en-US" w:eastAsia="zh-CN"/>
        </w:rPr>
        <w:t>本条第</w:t>
      </w:r>
      <w:r>
        <w:rPr>
          <w:rFonts w:hint="eastAsia" w:ascii="宋体" w:hAnsi="宋体" w:eastAsia="宋体" w:cs="宋体"/>
          <w:sz w:val="21"/>
          <w:szCs w:val="21"/>
        </w:rPr>
        <w:t>1款至</w:t>
      </w:r>
      <w:r>
        <w:rPr>
          <w:rFonts w:hint="eastAsia" w:ascii="宋体" w:hAnsi="宋体" w:eastAsia="宋体" w:cs="宋体"/>
          <w:sz w:val="21"/>
          <w:szCs w:val="21"/>
          <w:lang w:val="en-US" w:eastAsia="zh-CN"/>
        </w:rPr>
        <w:t>第</w:t>
      </w:r>
      <w:r>
        <w:rPr>
          <w:rFonts w:hint="eastAsia" w:ascii="宋体" w:hAnsi="宋体" w:eastAsia="宋体" w:cs="宋体"/>
          <w:sz w:val="21"/>
          <w:szCs w:val="21"/>
        </w:rPr>
        <w:t>3款中约定的费用不包括由国家机关或政府有关部门收取的费用（如鉴定、调查、工商查询、翻译等费用）。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除双方另有约定外，若甲方在咨询服务费支付期限届满后，逾期10个工作日未支付相应咨询服务费的，乙方有权中止咨询服务。</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六、</w:t>
      </w:r>
      <w:r>
        <w:rPr>
          <w:rFonts w:hint="eastAsia" w:ascii="宋体" w:hAnsi="宋体" w:eastAsia="宋体" w:cs="宋体"/>
          <w:sz w:val="21"/>
          <w:szCs w:val="21"/>
        </w:rPr>
        <w:t>乙方咨询服务团队配备人员</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项目负责人：</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技术负责人：</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项目成员：</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七、</w:t>
      </w:r>
      <w:r>
        <w:rPr>
          <w:rFonts w:hint="eastAsia" w:ascii="宋体" w:hAnsi="宋体" w:eastAsia="宋体" w:cs="宋体"/>
          <w:sz w:val="21"/>
          <w:szCs w:val="21"/>
        </w:rPr>
        <w:t>合同的提前终止与解除</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甲方解除合同的事由</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如果乙方有下列行为之一，并且不是由于甲方违约或不可抗力所致，甲方有权立即向乙方发出本合同的提前终止意向通知：</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（1）乙方违反本合同约定导致本项目实施进度严重延迟。</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（2）乙方在咨询服务过程中存在重大刑事犯罪行为的。</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乙方解除合同的事由</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如果甲方有下列行为之一，并且不是由于乙方违约或不可抗力所致，乙方有权立即向甲方发出本合同的提前终止意向通知：</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（1）甲方违反本合同约定导致本项目实施进度严重延迟。</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（2）甲方不按本合同约定支付任何一期应付费用，拖欠时间超过6个月或经乙方催告后30日内仍未付款，且双方在此期间未就延期付款达成一致意见的。</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（3）乙方放弃服务。</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（4）甲方要求乙方作出违反法律法规的行为。</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bookmarkStart w:id="23" w:name="_Toc25097"/>
      <w:bookmarkStart w:id="24" w:name="_Toc32289"/>
      <w:bookmarkStart w:id="25" w:name="_Toc23063"/>
      <w:bookmarkStart w:id="26" w:name="_Toc21935"/>
      <w:r>
        <w:rPr>
          <w:rFonts w:hint="eastAsia" w:ascii="宋体" w:hAnsi="宋体" w:eastAsia="宋体" w:cs="宋体"/>
          <w:sz w:val="21"/>
          <w:szCs w:val="21"/>
          <w:lang w:val="en-US" w:eastAsia="zh-CN"/>
        </w:rPr>
        <w:t>3、</w:t>
      </w:r>
      <w:r>
        <w:rPr>
          <w:rFonts w:hint="eastAsia" w:ascii="宋体" w:hAnsi="宋体" w:eastAsia="宋体" w:cs="宋体"/>
          <w:sz w:val="21"/>
          <w:szCs w:val="21"/>
        </w:rPr>
        <w:t>因不可抗力导致的合同解除</w:t>
      </w:r>
      <w:bookmarkEnd w:id="23"/>
      <w:bookmarkEnd w:id="24"/>
      <w:bookmarkEnd w:id="25"/>
      <w:bookmarkEnd w:id="26"/>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因不可抗力事件而导致一方要求终止本合同，并向对方发出提前终止意向通知的，双方应在提前终止意向通知发出后的30天或双方同意的期间内进行协商，如果双方在上述期间内达成一致意见，同意继续履行本合同，则本合同继续有效，双方应继续履行在本合同项下的义务。</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如果双方不能够在上述期间内达成一致意见，则发出提前终止意向通知的一方可向对方发出提前终止通知，并立即终止本合同。</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合同提前终止或解除的程序</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bookmarkStart w:id="27" w:name="_Toc19467"/>
      <w:bookmarkStart w:id="28" w:name="_Toc499815239"/>
      <w:bookmarkStart w:id="29" w:name="_Toc24539"/>
      <w:bookmarkStart w:id="30" w:name="_Toc486272933"/>
      <w:bookmarkStart w:id="31" w:name="_Toc5853"/>
      <w:bookmarkStart w:id="32" w:name="_Toc8328"/>
      <w:r>
        <w:rPr>
          <w:rFonts w:hint="eastAsia" w:ascii="宋体" w:hAnsi="宋体" w:eastAsia="宋体" w:cs="宋体"/>
          <w:sz w:val="21"/>
          <w:szCs w:val="21"/>
          <w:lang w:val="en-US" w:eastAsia="zh-CN"/>
        </w:rPr>
        <w:t>4.1</w:t>
      </w:r>
      <w:r>
        <w:rPr>
          <w:rFonts w:hint="eastAsia" w:ascii="宋体" w:hAnsi="宋体" w:eastAsia="宋体" w:cs="宋体"/>
          <w:sz w:val="21"/>
          <w:szCs w:val="21"/>
        </w:rPr>
        <w:t>提前终止意向通知</w:t>
      </w:r>
      <w:bookmarkEnd w:id="27"/>
      <w:bookmarkEnd w:id="28"/>
      <w:bookmarkEnd w:id="29"/>
      <w:bookmarkEnd w:id="30"/>
      <w:bookmarkEnd w:id="31"/>
      <w:bookmarkEnd w:id="32"/>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任何提前终止意向通知均应详细说明导致发出该通知的事件。在发出提前终止意向通知后，双方应在</w:t>
      </w:r>
      <w:r>
        <w:rPr>
          <w:rFonts w:hint="eastAsia" w:ascii="宋体" w:hAnsi="宋体" w:eastAsia="宋体" w:cs="宋体"/>
          <w:b/>
          <w:sz w:val="21"/>
          <w:szCs w:val="21"/>
        </w:rPr>
        <w:t>30</w:t>
      </w:r>
      <w:r>
        <w:rPr>
          <w:rFonts w:hint="eastAsia" w:ascii="宋体" w:hAnsi="宋体" w:eastAsia="宋体" w:cs="宋体"/>
          <w:sz w:val="21"/>
          <w:szCs w:val="21"/>
        </w:rPr>
        <w:t>天或双方同意的期间内，协商为避免本合同的提前终止而应采取的措施。</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bookmarkStart w:id="33" w:name="_Toc3970"/>
      <w:bookmarkStart w:id="34" w:name="_Toc3961"/>
      <w:bookmarkStart w:id="35" w:name="_Toc499815240"/>
      <w:bookmarkStart w:id="36" w:name="_Toc32502"/>
      <w:bookmarkStart w:id="37" w:name="_Toc29183"/>
      <w:r>
        <w:rPr>
          <w:rFonts w:hint="eastAsia" w:ascii="宋体" w:hAnsi="宋体" w:eastAsia="宋体" w:cs="宋体"/>
          <w:sz w:val="21"/>
          <w:szCs w:val="21"/>
          <w:lang w:val="en-US" w:eastAsia="zh-CN"/>
        </w:rPr>
        <w:t>4.2</w:t>
      </w:r>
      <w:r>
        <w:rPr>
          <w:rFonts w:hint="eastAsia" w:ascii="宋体" w:hAnsi="宋体" w:eastAsia="宋体" w:cs="宋体"/>
          <w:sz w:val="21"/>
          <w:szCs w:val="21"/>
        </w:rPr>
        <w:t>提前终止通知</w:t>
      </w:r>
      <w:bookmarkEnd w:id="33"/>
      <w:bookmarkEnd w:id="34"/>
      <w:bookmarkEnd w:id="35"/>
      <w:bookmarkEnd w:id="36"/>
      <w:bookmarkEnd w:id="37"/>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在上条约定的协商期满时，发出提前终止意向通知的一方可向对方发出提前终止通知，并立即终止本合同，除非：</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（1）各方已另外达成一致意见。</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（2）导致提前终止意向通知的事件得到纠正。</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4.3</w:t>
      </w:r>
      <w:r>
        <w:rPr>
          <w:rFonts w:hint="eastAsia" w:ascii="宋体" w:hAnsi="宋体" w:eastAsia="宋体" w:cs="宋体"/>
          <w:sz w:val="21"/>
          <w:szCs w:val="21"/>
        </w:rPr>
        <w:t>合同提前终止或解除后的安排</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（1）因甲方违约导致的终止</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若因甲方原因导致本合同无效或无法继续履行的，甲方应当依法赔偿乙方损失。</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w:t>
      </w:r>
      <w:r>
        <w:rPr>
          <w:rFonts w:hint="eastAsia" w:ascii="宋体" w:hAnsi="宋体" w:eastAsia="宋体" w:cs="宋体"/>
          <w:sz w:val="21"/>
          <w:szCs w:val="21"/>
        </w:rPr>
        <w:t>）因乙方违约导致的终止</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若因乙方原因导致本合同无效或无法继续履行的，甲方有权在扣减咨询服务费。</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）因不可抗力导致的终止</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因不可抗力导致本合同终止的，甲方应根据乙方已履行的服务向乙方支付相应的咨询服务费。若乙方尚未履行全部服务的，未履行部分的相应费用，甲方无须支付。</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合同终止前，因一方违约给对方造成的损失，违约方须在合同终止后继续承担赔偿责任。</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八、</w:t>
      </w:r>
      <w:r>
        <w:rPr>
          <w:rFonts w:hint="eastAsia" w:ascii="宋体" w:hAnsi="宋体" w:eastAsia="宋体" w:cs="宋体"/>
          <w:sz w:val="21"/>
          <w:szCs w:val="21"/>
        </w:rPr>
        <w:t>违约责任</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bookmarkStart w:id="38" w:name="_Toc505700726"/>
      <w:r>
        <w:rPr>
          <w:rFonts w:hint="eastAsia" w:ascii="宋体" w:hAnsi="宋体" w:eastAsia="宋体" w:cs="宋体"/>
          <w:sz w:val="21"/>
          <w:szCs w:val="21"/>
          <w:lang w:val="en-US" w:eastAsia="zh-CN"/>
        </w:rPr>
        <w:t>1、</w:t>
      </w:r>
      <w:r>
        <w:rPr>
          <w:rFonts w:hint="eastAsia" w:ascii="宋体" w:hAnsi="宋体" w:eastAsia="宋体" w:cs="宋体"/>
          <w:sz w:val="21"/>
          <w:szCs w:val="21"/>
        </w:rPr>
        <w:t>违约行为的认定</w:t>
      </w:r>
      <w:bookmarkEnd w:id="38"/>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本项目违约行为按照本合同相关约定认定。</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bookmarkStart w:id="39" w:name="_Toc505700727"/>
      <w:r>
        <w:rPr>
          <w:rFonts w:hint="eastAsia" w:ascii="宋体" w:hAnsi="宋体" w:eastAsia="宋体" w:cs="宋体"/>
          <w:sz w:val="21"/>
          <w:szCs w:val="21"/>
          <w:lang w:val="en-US" w:eastAsia="zh-CN"/>
        </w:rPr>
        <w:t>2、</w:t>
      </w:r>
      <w:r>
        <w:rPr>
          <w:rFonts w:hint="eastAsia" w:ascii="宋体" w:hAnsi="宋体" w:eastAsia="宋体" w:cs="宋体"/>
          <w:sz w:val="21"/>
          <w:szCs w:val="21"/>
        </w:rPr>
        <w:t>违约责任承担方式</w:t>
      </w:r>
      <w:bookmarkEnd w:id="39"/>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除本合同约定的违约责任外，一方若违反本合同的其他约定，另一方应有权获得因违约方违约而遭受的合理损失、支出和费用的赔偿。</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bookmarkStart w:id="40" w:name="_Toc505700728"/>
      <w:r>
        <w:rPr>
          <w:rFonts w:hint="eastAsia" w:ascii="宋体" w:hAnsi="宋体" w:eastAsia="宋体" w:cs="宋体"/>
          <w:sz w:val="21"/>
          <w:szCs w:val="21"/>
          <w:lang w:val="en-US" w:eastAsia="zh-CN"/>
        </w:rPr>
        <w:t>3、</w:t>
      </w:r>
      <w:r>
        <w:rPr>
          <w:rFonts w:hint="eastAsia" w:ascii="宋体" w:hAnsi="宋体" w:eastAsia="宋体" w:cs="宋体"/>
          <w:sz w:val="21"/>
          <w:szCs w:val="21"/>
        </w:rPr>
        <w:t>减轻损失的措施</w:t>
      </w:r>
      <w:bookmarkEnd w:id="40"/>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由于另一方违约而遭受损失或可能会遭受损失的一方应采取合理行动减轻或最大程度地减少另一方违约引起的损失。</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如果一方未能采取此类措施，违约方可以请求从赔偿金额中扣除应能够减轻或减少的损失金额。</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受损害的一方应有权从另一方获得因试图减轻和减少损失而合理发生的合理费用。</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bookmarkStart w:id="41" w:name="_Toc505700729"/>
      <w:r>
        <w:rPr>
          <w:rFonts w:hint="eastAsia" w:ascii="宋体" w:hAnsi="宋体" w:eastAsia="宋体" w:cs="宋体"/>
          <w:sz w:val="21"/>
          <w:szCs w:val="21"/>
          <w:lang w:val="en-US" w:eastAsia="zh-CN"/>
        </w:rPr>
        <w:t>4、</w:t>
      </w:r>
      <w:r>
        <w:rPr>
          <w:rFonts w:hint="eastAsia" w:ascii="宋体" w:hAnsi="宋体" w:eastAsia="宋体" w:cs="宋体"/>
          <w:sz w:val="21"/>
          <w:szCs w:val="21"/>
        </w:rPr>
        <w:t>部分由于受损害方造成的损失</w:t>
      </w:r>
      <w:bookmarkEnd w:id="41"/>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如果损失部分地是由于受损害方的作为或不作为造成的，或部分地产生于应由受损害方承担风险的另一事件，赔偿的数额应扣除这些因素造成的损失。</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bookmarkStart w:id="42" w:name="_Toc505700730"/>
      <w:r>
        <w:rPr>
          <w:rFonts w:hint="eastAsia" w:ascii="宋体" w:hAnsi="宋体" w:eastAsia="宋体" w:cs="宋体"/>
          <w:sz w:val="21"/>
          <w:szCs w:val="21"/>
          <w:lang w:val="en-US" w:eastAsia="zh-CN"/>
        </w:rPr>
        <w:t>5、</w:t>
      </w:r>
      <w:r>
        <w:rPr>
          <w:rFonts w:hint="eastAsia" w:ascii="宋体" w:hAnsi="宋体" w:eastAsia="宋体" w:cs="宋体"/>
          <w:sz w:val="21"/>
          <w:szCs w:val="21"/>
        </w:rPr>
        <w:t>对间接损失不负责任</w:t>
      </w:r>
      <w:bookmarkEnd w:id="42"/>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除非本合同另有约定，任一方均不应对由于或根据本合同产生的或与其相关的任何索赔为对方的任何间接、特殊或附带损失或惩罚性损害赔偿负责。</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bookmarkStart w:id="43" w:name="_Toc505700731"/>
      <w:r>
        <w:rPr>
          <w:rFonts w:hint="eastAsia" w:ascii="宋体" w:hAnsi="宋体" w:eastAsia="宋体" w:cs="宋体"/>
          <w:sz w:val="21"/>
          <w:szCs w:val="21"/>
          <w:lang w:val="en-US" w:eastAsia="zh-CN"/>
        </w:rPr>
        <w:t>6、</w:t>
      </w:r>
      <w:r>
        <w:rPr>
          <w:rFonts w:hint="eastAsia" w:ascii="宋体" w:hAnsi="宋体" w:eastAsia="宋体" w:cs="宋体"/>
          <w:sz w:val="21"/>
          <w:szCs w:val="21"/>
        </w:rPr>
        <w:t>违约行为处理</w:t>
      </w:r>
      <w:bookmarkEnd w:id="43"/>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本合同如发生违约，甲乙双方应本着友好协商的精神，先行协商妥善处理。</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合同履行期间，当一方发现另一方违约时，经调查违约行为属实的，受损害方可向违约方发送书面告知函要求限期整改，违约方应限期内终止违约行为，采取必要的补救措施，并回函告知补救结果。</w:t>
      </w:r>
    </w:p>
    <w:p>
      <w:pPr>
        <w:pStyle w:val="3"/>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7、</w:t>
      </w:r>
      <w:r>
        <w:rPr>
          <w:rFonts w:hint="eastAsia" w:ascii="宋体" w:hAnsi="宋体" w:eastAsia="宋体" w:cs="宋体"/>
          <w:sz w:val="21"/>
          <w:szCs w:val="21"/>
        </w:rPr>
        <w:t>违约赔偿</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违约行为对受损害方造成损害的，将依据本合同相关约定追究违约赔偿。</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九、不可抗力</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不可抗力是指：在合同执行过程中，如果出现水灾、火灾、地震、战争、政府禁令或其它不可预料的事件且当事方不能控制、无法避免、无法克服的事件。</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由于不可抗力事件的发生，直接影响本合同的履行或者不能按约定的条件履行时，受影响的一方，应及时通知另一方，并在15天内提供事件详情及本合同不能履行的理由的书面证明，按其对履行本合同影响的程度，由双方协商一致处理。</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十、技术情报和资料的保密</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本合同涉及的由甲方提供的基础资料和报告全部成果，未经甲方同意，乙方不得以任何形式提供和透露给第三方</w:t>
      </w:r>
      <w:r>
        <w:rPr>
          <w:rFonts w:hint="eastAsia" w:ascii="宋体" w:hAnsi="宋体" w:eastAsia="宋体" w:cs="宋体"/>
          <w:sz w:val="21"/>
          <w:szCs w:val="21"/>
          <w:u w:val="single"/>
        </w:rPr>
        <w:t>（合作社会资本及审批部门除外）</w:t>
      </w:r>
      <w:r>
        <w:rPr>
          <w:rFonts w:hint="eastAsia" w:ascii="宋体" w:hAnsi="宋体" w:eastAsia="宋体" w:cs="宋体"/>
          <w:sz w:val="21"/>
          <w:szCs w:val="21"/>
        </w:rPr>
        <w:t>。</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甲方对乙方此次咨询成果的使用权仅限于本合同限定的项目申报审批工作，未经乙方同意，甲方不得将相关成果以任何形式提供和透露给本项目申报审批过程中无直接关系的任何第三方。</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十一、</w:t>
      </w:r>
      <w:r>
        <w:rPr>
          <w:rFonts w:hint="eastAsia" w:ascii="宋体" w:hAnsi="宋体" w:eastAsia="宋体" w:cs="宋体"/>
          <w:sz w:val="21"/>
          <w:szCs w:val="21"/>
        </w:rPr>
        <w:t>合同争议的解决方式</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本合同或任何依据本合同签署的合同引发的甲乙双方之间的争议，均应尽可能以友好协商的方式解决。</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若甲、乙双方协商未能解决争议，则应将争议提交项目所在地有管辖权的法院诉讼。</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十二、</w:t>
      </w:r>
      <w:r>
        <w:rPr>
          <w:rFonts w:hint="eastAsia" w:ascii="宋体" w:hAnsi="宋体" w:eastAsia="宋体" w:cs="宋体"/>
          <w:sz w:val="21"/>
          <w:szCs w:val="21"/>
        </w:rPr>
        <w:t>合同变更</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本合同任何修改、补偿或变更只有以书面形式并由各方加盖公章方可生效。</w:t>
      </w:r>
    </w:p>
    <w:p>
      <w:pPr>
        <w:pStyle w:val="2"/>
        <w:pageBreakBefore w:val="0"/>
        <w:widowControl w:val="0"/>
        <w:kinsoku/>
        <w:wordWrap/>
        <w:overflowPunct/>
        <w:topLinePunct w:val="0"/>
        <w:autoSpaceDE/>
        <w:autoSpaceDN/>
        <w:bidi w:val="0"/>
        <w:adjustRightInd w:val="0"/>
        <w:snapToGrid w:val="0"/>
        <w:spacing w:before="0" w:after="0" w:line="360" w:lineRule="auto"/>
        <w:ind w:firstLine="422" w:firstLineChars="200"/>
        <w:rPr>
          <w:rFonts w:hint="eastAsia" w:ascii="宋体" w:hAnsi="宋体" w:eastAsia="宋体" w:cs="宋体"/>
          <w:sz w:val="21"/>
          <w:szCs w:val="21"/>
        </w:rPr>
      </w:pPr>
      <w:r>
        <w:rPr>
          <w:rFonts w:hint="eastAsia" w:ascii="宋体" w:hAnsi="宋体" w:eastAsia="宋体" w:cs="宋体"/>
          <w:sz w:val="21"/>
          <w:szCs w:val="21"/>
          <w:lang w:val="en-US" w:eastAsia="zh-CN"/>
        </w:rPr>
        <w:t>十三、</w:t>
      </w:r>
      <w:r>
        <w:rPr>
          <w:rFonts w:hint="eastAsia" w:ascii="宋体" w:hAnsi="宋体" w:eastAsia="宋体" w:cs="宋体"/>
          <w:sz w:val="21"/>
          <w:szCs w:val="21"/>
        </w:rPr>
        <w:t>其他</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本合同的订立、解释、履行及争议解决，均适用中华人民共和国法律。</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就本合同未尽部分，双方将依据国家有关的法律法规，友好协商解决，并签订书面补充协议、备忘录、附件等。</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甲方应尊重乙方的劳动成果。甲方确认乙方为完成委托事项所起草之所有文件的著作权均属乙方所有，乙方在行使其著作权时不得侵犯甲方的合法权利。</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凡因执行本合同所发生的或者与本合同有关的一切争议，首先应争取各方之间友好协商解决。</w:t>
      </w:r>
    </w:p>
    <w:p>
      <w:pPr>
        <w:pageBreakBefore w:val="0"/>
        <w:widowControl w:val="0"/>
        <w:kinsoku/>
        <w:wordWrap/>
        <w:overflowPunct/>
        <w:topLinePunct w:val="0"/>
        <w:autoSpaceDE/>
        <w:autoSpaceDN/>
        <w:bidi w:val="0"/>
        <w:adjustRightInd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本合同一式</w:t>
      </w:r>
      <w:r>
        <w:rPr>
          <w:rFonts w:hint="eastAsia" w:ascii="宋体" w:hAnsi="宋体" w:eastAsia="宋体" w:cs="宋体"/>
          <w:sz w:val="21"/>
          <w:szCs w:val="21"/>
          <w:u w:val="single"/>
        </w:rPr>
        <w:t xml:space="preserve">   </w:t>
      </w:r>
      <w:r>
        <w:rPr>
          <w:rFonts w:hint="eastAsia" w:ascii="宋体" w:hAnsi="宋体" w:eastAsia="宋体" w:cs="宋体"/>
          <w:sz w:val="21"/>
          <w:szCs w:val="21"/>
        </w:rPr>
        <w:t>份，甲乙双方各持</w:t>
      </w:r>
      <w:r>
        <w:rPr>
          <w:rFonts w:hint="eastAsia" w:ascii="宋体" w:hAnsi="宋体" w:eastAsia="宋体" w:cs="宋体"/>
          <w:sz w:val="21"/>
          <w:szCs w:val="21"/>
          <w:u w:val="single"/>
        </w:rPr>
        <w:t xml:space="preserve">   </w:t>
      </w:r>
      <w:r>
        <w:rPr>
          <w:rFonts w:hint="eastAsia" w:ascii="宋体" w:hAnsi="宋体" w:eastAsia="宋体" w:cs="宋体"/>
          <w:sz w:val="21"/>
          <w:szCs w:val="21"/>
        </w:rPr>
        <w:t>份，报送相关部门备案2份，具有同等法律效力。本合同由双方代表签字盖章之日（生效日）起生效，本合同咨询服务期限届满后即自动失效。</w:t>
      </w:r>
    </w:p>
    <w:p>
      <w:pPr>
        <w:pageBreakBefore w:val="0"/>
        <w:widowControl w:val="0"/>
        <w:kinsoku/>
        <w:wordWrap/>
        <w:overflowPunct/>
        <w:topLinePunct w:val="0"/>
        <w:autoSpaceDE/>
        <w:autoSpaceDN/>
        <w:bidi w:val="0"/>
        <w:snapToGrid w:val="0"/>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（以下无正文）</w:t>
      </w:r>
    </w:p>
    <w:p>
      <w:pPr>
        <w:jc w:val="right"/>
      </w:pPr>
      <w:r>
        <w:br w:type="page"/>
      </w:r>
    </w:p>
    <w:tbl>
      <w:tblPr>
        <w:tblStyle w:val="29"/>
        <w:tblW w:w="9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699"/>
        <w:gridCol w:w="2765"/>
        <w:gridCol w:w="807"/>
        <w:gridCol w:w="146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9722" w:type="dxa"/>
            <w:gridSpan w:val="6"/>
            <w:noWrap w:val="0"/>
            <w:vAlign w:val="top"/>
          </w:tcPr>
          <w:p>
            <w:pPr>
              <w:pStyle w:val="86"/>
              <w:snapToGrid w:val="0"/>
              <w:spacing w:before="0" w:after="0" w:line="240" w:lineRule="auto"/>
              <w:ind w:firstLine="420" w:firstLineChars="200"/>
              <w:jc w:val="left"/>
              <w:outlineLvl w:val="2"/>
              <w:rPr>
                <w:rFonts w:ascii="Times New Roman" w:eastAsia="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restart"/>
            <w:noWrap w:val="0"/>
            <w:textDirection w:val="tbRlV"/>
            <w:vAlign w:val="center"/>
          </w:tcPr>
          <w:p>
            <w:pPr>
              <w:ind w:left="113" w:right="113"/>
              <w:jc w:val="center"/>
              <w:rPr>
                <w:b w:val="0"/>
                <w:bCs w:val="0"/>
                <w:sz w:val="21"/>
                <w:szCs w:val="21"/>
              </w:rPr>
            </w:pPr>
            <w:r>
              <w:rPr>
                <w:b w:val="0"/>
                <w:bCs w:val="0"/>
                <w:sz w:val="21"/>
                <w:szCs w:val="21"/>
              </w:rPr>
              <w:t>委托人</w:t>
            </w:r>
            <w:r>
              <w:rPr>
                <w:rFonts w:hint="eastAsia"/>
                <w:b w:val="0"/>
                <w:bCs w:val="0"/>
                <w:sz w:val="21"/>
                <w:szCs w:val="21"/>
              </w:rPr>
              <w:t>（</w:t>
            </w:r>
            <w:r>
              <w:rPr>
                <w:b w:val="0"/>
                <w:bCs w:val="0"/>
                <w:sz w:val="21"/>
                <w:szCs w:val="21"/>
              </w:rPr>
              <w:t>甲方</w:t>
            </w:r>
            <w:r>
              <w:rPr>
                <w:rFonts w:hint="eastAsia"/>
                <w:b w:val="0"/>
                <w:bCs w:val="0"/>
                <w:sz w:val="21"/>
                <w:szCs w:val="21"/>
              </w:rPr>
              <w:t>）</w:t>
            </w:r>
          </w:p>
        </w:tc>
        <w:tc>
          <w:tcPr>
            <w:tcW w:w="1699" w:type="dxa"/>
            <w:noWrap w:val="0"/>
            <w:vAlign w:val="center"/>
          </w:tcPr>
          <w:p>
            <w:pPr>
              <w:jc w:val="center"/>
              <w:rPr>
                <w:b w:val="0"/>
                <w:bCs w:val="0"/>
                <w:sz w:val="21"/>
                <w:szCs w:val="21"/>
              </w:rPr>
            </w:pPr>
            <w:r>
              <w:rPr>
                <w:b w:val="0"/>
                <w:bCs w:val="0"/>
                <w:sz w:val="21"/>
                <w:szCs w:val="21"/>
              </w:rPr>
              <w:t>名称(或姓名)</w:t>
            </w:r>
          </w:p>
        </w:tc>
        <w:tc>
          <w:tcPr>
            <w:tcW w:w="5032" w:type="dxa"/>
            <w:gridSpan w:val="3"/>
            <w:noWrap w:val="0"/>
            <w:vAlign w:val="center"/>
          </w:tcPr>
          <w:p>
            <w:pPr>
              <w:jc w:val="right"/>
              <w:rPr>
                <w:b w:val="0"/>
                <w:bCs w:val="0"/>
                <w:sz w:val="21"/>
                <w:szCs w:val="21"/>
              </w:rPr>
            </w:pPr>
            <w:r>
              <w:rPr>
                <w:b w:val="0"/>
                <w:bCs w:val="0"/>
                <w:sz w:val="21"/>
                <w:szCs w:val="21"/>
              </w:rPr>
              <w:t xml:space="preserve"> (签章)</w:t>
            </w:r>
          </w:p>
        </w:tc>
        <w:tc>
          <w:tcPr>
            <w:tcW w:w="2318" w:type="dxa"/>
            <w:vMerge w:val="restart"/>
            <w:noWrap w:val="0"/>
            <w:vAlign w:val="center"/>
          </w:tcPr>
          <w:p>
            <w:pPr>
              <w:jc w:val="center"/>
              <w:rPr>
                <w:b w:val="0"/>
                <w:bCs w:val="0"/>
                <w:sz w:val="21"/>
                <w:szCs w:val="21"/>
              </w:rPr>
            </w:pPr>
            <w:r>
              <w:rPr>
                <w:b w:val="0"/>
                <w:bCs w:val="0"/>
                <w:sz w:val="21"/>
                <w:szCs w:val="21"/>
              </w:rPr>
              <w:t>技术合同专用章</w:t>
            </w:r>
          </w:p>
          <w:p>
            <w:pPr>
              <w:jc w:val="center"/>
              <w:rPr>
                <w:b w:val="0"/>
                <w:bCs w:val="0"/>
                <w:sz w:val="21"/>
                <w:szCs w:val="21"/>
              </w:rPr>
            </w:pPr>
            <w:r>
              <w:rPr>
                <w:b w:val="0"/>
                <w:bCs w:val="0"/>
                <w:sz w:val="21"/>
                <w:szCs w:val="21"/>
              </w:rPr>
              <w:t>或单位公章</w:t>
            </w:r>
          </w:p>
          <w:p>
            <w:pPr>
              <w:jc w:val="center"/>
              <w:rPr>
                <w:b w:val="0"/>
                <w:bCs w:val="0"/>
                <w:sz w:val="21"/>
                <w:szCs w:val="21"/>
              </w:rPr>
            </w:pPr>
          </w:p>
          <w:p>
            <w:pPr>
              <w:jc w:val="center"/>
              <w:rPr>
                <w:b w:val="0"/>
                <w:bCs w:val="0"/>
                <w:sz w:val="21"/>
                <w:szCs w:val="21"/>
              </w:rPr>
            </w:pPr>
          </w:p>
          <w:p>
            <w:pPr>
              <w:jc w:val="center"/>
              <w:rPr>
                <w:b w:val="0"/>
                <w:bCs w:val="0"/>
                <w:sz w:val="21"/>
                <w:szCs w:val="21"/>
              </w:rPr>
            </w:pPr>
          </w:p>
          <w:p>
            <w:pPr>
              <w:jc w:val="center"/>
              <w:rPr>
                <w:b w:val="0"/>
                <w:bCs w:val="0"/>
                <w:sz w:val="21"/>
                <w:szCs w:val="21"/>
              </w:rPr>
            </w:pPr>
            <w:r>
              <w:rPr>
                <w:rFonts w:hint="eastAsia"/>
                <w:b w:val="0"/>
                <w:bCs w:val="0"/>
                <w:sz w:val="21"/>
                <w:szCs w:val="21"/>
              </w:rPr>
              <w:t>2019</w:t>
            </w:r>
            <w:r>
              <w:rPr>
                <w:b w:val="0"/>
                <w:bCs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法定代表人</w:t>
            </w:r>
          </w:p>
        </w:tc>
        <w:tc>
          <w:tcPr>
            <w:tcW w:w="5032" w:type="dxa"/>
            <w:gridSpan w:val="3"/>
            <w:noWrap w:val="0"/>
            <w:vAlign w:val="center"/>
          </w:tcPr>
          <w:p>
            <w:pPr>
              <w:jc w:val="right"/>
              <w:rPr>
                <w:b w:val="0"/>
                <w:bCs w:val="0"/>
                <w:sz w:val="21"/>
                <w:szCs w:val="21"/>
              </w:rPr>
            </w:pPr>
            <w:r>
              <w:rPr>
                <w:b w:val="0"/>
                <w:bCs w:val="0"/>
                <w:sz w:val="21"/>
                <w:szCs w:val="21"/>
              </w:rPr>
              <w:t>(签章)</w:t>
            </w: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委托代理人</w:t>
            </w:r>
          </w:p>
        </w:tc>
        <w:tc>
          <w:tcPr>
            <w:tcW w:w="5032" w:type="dxa"/>
            <w:gridSpan w:val="3"/>
            <w:noWrap w:val="0"/>
            <w:vAlign w:val="center"/>
          </w:tcPr>
          <w:p>
            <w:pPr>
              <w:jc w:val="right"/>
              <w:rPr>
                <w:b w:val="0"/>
                <w:bCs w:val="0"/>
                <w:sz w:val="21"/>
                <w:szCs w:val="21"/>
              </w:rPr>
            </w:pPr>
            <w:r>
              <w:rPr>
                <w:b w:val="0"/>
                <w:bCs w:val="0"/>
                <w:sz w:val="21"/>
                <w:szCs w:val="21"/>
              </w:rPr>
              <w:t>(签章)</w:t>
            </w: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联系(经办)人</w:t>
            </w:r>
          </w:p>
        </w:tc>
        <w:tc>
          <w:tcPr>
            <w:tcW w:w="5032" w:type="dxa"/>
            <w:gridSpan w:val="3"/>
            <w:noWrap w:val="0"/>
            <w:vAlign w:val="center"/>
          </w:tcPr>
          <w:p>
            <w:pPr>
              <w:jc w:val="right"/>
              <w:rPr>
                <w:b w:val="0"/>
                <w:bCs w:val="0"/>
                <w:sz w:val="21"/>
                <w:szCs w:val="21"/>
              </w:rPr>
            </w:pPr>
            <w:r>
              <w:rPr>
                <w:b w:val="0"/>
                <w:bCs w:val="0"/>
                <w:sz w:val="21"/>
                <w:szCs w:val="21"/>
              </w:rPr>
              <w:t>(签章)</w:t>
            </w: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spacing w:line="240" w:lineRule="atLeast"/>
              <w:jc w:val="center"/>
              <w:rPr>
                <w:b w:val="0"/>
                <w:bCs w:val="0"/>
                <w:sz w:val="21"/>
                <w:szCs w:val="21"/>
              </w:rPr>
            </w:pPr>
            <w:r>
              <w:rPr>
                <w:b w:val="0"/>
                <w:bCs w:val="0"/>
                <w:sz w:val="21"/>
                <w:szCs w:val="21"/>
              </w:rPr>
              <w:t>住所</w:t>
            </w:r>
          </w:p>
          <w:p>
            <w:pPr>
              <w:spacing w:line="240" w:lineRule="atLeast"/>
              <w:jc w:val="center"/>
              <w:rPr>
                <w:b w:val="0"/>
                <w:bCs w:val="0"/>
                <w:sz w:val="21"/>
                <w:szCs w:val="21"/>
              </w:rPr>
            </w:pPr>
            <w:r>
              <w:rPr>
                <w:b w:val="0"/>
                <w:bCs w:val="0"/>
                <w:sz w:val="21"/>
                <w:szCs w:val="21"/>
              </w:rPr>
              <w:t>(通讯地址)</w:t>
            </w:r>
          </w:p>
        </w:tc>
        <w:tc>
          <w:tcPr>
            <w:tcW w:w="2765" w:type="dxa"/>
            <w:noWrap w:val="0"/>
            <w:vAlign w:val="center"/>
          </w:tcPr>
          <w:p>
            <w:pPr>
              <w:spacing w:line="240" w:lineRule="atLeast"/>
              <w:jc w:val="center"/>
              <w:rPr>
                <w:b w:val="0"/>
                <w:bCs w:val="0"/>
                <w:sz w:val="21"/>
                <w:szCs w:val="21"/>
              </w:rPr>
            </w:pPr>
          </w:p>
        </w:tc>
        <w:tc>
          <w:tcPr>
            <w:tcW w:w="807" w:type="dxa"/>
            <w:noWrap w:val="0"/>
            <w:vAlign w:val="center"/>
          </w:tcPr>
          <w:p>
            <w:pPr>
              <w:jc w:val="center"/>
              <w:rPr>
                <w:b w:val="0"/>
                <w:bCs w:val="0"/>
                <w:sz w:val="21"/>
                <w:szCs w:val="21"/>
              </w:rPr>
            </w:pPr>
            <w:r>
              <w:rPr>
                <w:b w:val="0"/>
                <w:bCs w:val="0"/>
                <w:sz w:val="21"/>
                <w:szCs w:val="21"/>
              </w:rPr>
              <w:t>邮政编码</w:t>
            </w:r>
          </w:p>
        </w:tc>
        <w:tc>
          <w:tcPr>
            <w:tcW w:w="1460" w:type="dxa"/>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电    话</w:t>
            </w:r>
          </w:p>
        </w:tc>
        <w:tc>
          <w:tcPr>
            <w:tcW w:w="5032" w:type="dxa"/>
            <w:gridSpan w:val="3"/>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开户银行</w:t>
            </w:r>
          </w:p>
        </w:tc>
        <w:tc>
          <w:tcPr>
            <w:tcW w:w="5032" w:type="dxa"/>
            <w:gridSpan w:val="3"/>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帐号</w:t>
            </w:r>
          </w:p>
        </w:tc>
        <w:tc>
          <w:tcPr>
            <w:tcW w:w="5032" w:type="dxa"/>
            <w:gridSpan w:val="3"/>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restart"/>
            <w:noWrap w:val="0"/>
            <w:textDirection w:val="tbRlV"/>
            <w:vAlign w:val="center"/>
          </w:tcPr>
          <w:p>
            <w:pPr>
              <w:ind w:left="113" w:right="113"/>
              <w:jc w:val="center"/>
              <w:rPr>
                <w:b w:val="0"/>
                <w:bCs w:val="0"/>
                <w:sz w:val="21"/>
                <w:szCs w:val="21"/>
              </w:rPr>
            </w:pPr>
            <w:r>
              <w:rPr>
                <w:b w:val="0"/>
                <w:bCs w:val="0"/>
                <w:sz w:val="21"/>
                <w:szCs w:val="21"/>
              </w:rPr>
              <w:t>受托人</w:t>
            </w:r>
            <w:r>
              <w:rPr>
                <w:rFonts w:hint="eastAsia"/>
                <w:b w:val="0"/>
                <w:bCs w:val="0"/>
                <w:sz w:val="21"/>
                <w:szCs w:val="21"/>
              </w:rPr>
              <w:t>（</w:t>
            </w:r>
            <w:r>
              <w:rPr>
                <w:b w:val="0"/>
                <w:bCs w:val="0"/>
                <w:sz w:val="21"/>
                <w:szCs w:val="21"/>
              </w:rPr>
              <w:t>乙方</w:t>
            </w:r>
            <w:r>
              <w:rPr>
                <w:rFonts w:hint="eastAsia"/>
                <w:b w:val="0"/>
                <w:bCs w:val="0"/>
                <w:sz w:val="21"/>
                <w:szCs w:val="21"/>
              </w:rPr>
              <w:t>）</w:t>
            </w:r>
          </w:p>
        </w:tc>
        <w:tc>
          <w:tcPr>
            <w:tcW w:w="1699" w:type="dxa"/>
            <w:noWrap w:val="0"/>
            <w:vAlign w:val="center"/>
          </w:tcPr>
          <w:p>
            <w:pPr>
              <w:jc w:val="center"/>
              <w:rPr>
                <w:b w:val="0"/>
                <w:bCs w:val="0"/>
                <w:sz w:val="21"/>
                <w:szCs w:val="21"/>
              </w:rPr>
            </w:pPr>
            <w:r>
              <w:rPr>
                <w:b w:val="0"/>
                <w:bCs w:val="0"/>
                <w:sz w:val="21"/>
                <w:szCs w:val="21"/>
              </w:rPr>
              <w:t>名称(或姓名)</w:t>
            </w:r>
          </w:p>
        </w:tc>
        <w:tc>
          <w:tcPr>
            <w:tcW w:w="5032" w:type="dxa"/>
            <w:gridSpan w:val="3"/>
            <w:noWrap w:val="0"/>
            <w:vAlign w:val="center"/>
          </w:tcPr>
          <w:p>
            <w:pPr>
              <w:wordWrap w:val="0"/>
              <w:jc w:val="right"/>
              <w:rPr>
                <w:b w:val="0"/>
                <w:bCs w:val="0"/>
                <w:sz w:val="21"/>
                <w:szCs w:val="21"/>
              </w:rPr>
            </w:pPr>
            <w:r>
              <w:rPr>
                <w:b w:val="0"/>
                <w:bCs w:val="0"/>
                <w:sz w:val="21"/>
                <w:szCs w:val="21"/>
              </w:rPr>
              <w:t>(签章)</w:t>
            </w:r>
          </w:p>
        </w:tc>
        <w:tc>
          <w:tcPr>
            <w:tcW w:w="2318" w:type="dxa"/>
            <w:vMerge w:val="restart"/>
            <w:noWrap w:val="0"/>
            <w:vAlign w:val="center"/>
          </w:tcPr>
          <w:p>
            <w:pPr>
              <w:jc w:val="center"/>
              <w:rPr>
                <w:b w:val="0"/>
                <w:bCs w:val="0"/>
                <w:sz w:val="21"/>
                <w:szCs w:val="21"/>
              </w:rPr>
            </w:pPr>
            <w:r>
              <w:rPr>
                <w:b w:val="0"/>
                <w:bCs w:val="0"/>
                <w:sz w:val="21"/>
                <w:szCs w:val="21"/>
              </w:rPr>
              <w:t>技术合同专用章</w:t>
            </w:r>
          </w:p>
          <w:p>
            <w:pPr>
              <w:jc w:val="center"/>
              <w:rPr>
                <w:b w:val="0"/>
                <w:bCs w:val="0"/>
                <w:sz w:val="21"/>
                <w:szCs w:val="21"/>
              </w:rPr>
            </w:pPr>
            <w:r>
              <w:rPr>
                <w:b w:val="0"/>
                <w:bCs w:val="0"/>
                <w:sz w:val="21"/>
                <w:szCs w:val="21"/>
              </w:rPr>
              <w:t>或单位公章</w:t>
            </w:r>
          </w:p>
          <w:p>
            <w:pPr>
              <w:jc w:val="center"/>
              <w:rPr>
                <w:b w:val="0"/>
                <w:bCs w:val="0"/>
                <w:sz w:val="21"/>
                <w:szCs w:val="21"/>
              </w:rPr>
            </w:pPr>
          </w:p>
          <w:p>
            <w:pPr>
              <w:jc w:val="center"/>
              <w:rPr>
                <w:b w:val="0"/>
                <w:bCs w:val="0"/>
                <w:sz w:val="21"/>
                <w:szCs w:val="21"/>
              </w:rPr>
            </w:pPr>
          </w:p>
          <w:p>
            <w:pPr>
              <w:jc w:val="center"/>
              <w:rPr>
                <w:b w:val="0"/>
                <w:bCs w:val="0"/>
                <w:sz w:val="21"/>
                <w:szCs w:val="21"/>
              </w:rPr>
            </w:pPr>
          </w:p>
          <w:p>
            <w:pPr>
              <w:jc w:val="center"/>
              <w:rPr>
                <w:b w:val="0"/>
                <w:bCs w:val="0"/>
                <w:sz w:val="21"/>
                <w:szCs w:val="21"/>
              </w:rPr>
            </w:pPr>
            <w:r>
              <w:rPr>
                <w:rFonts w:hint="eastAsia"/>
                <w:b w:val="0"/>
                <w:bCs w:val="0"/>
                <w:sz w:val="21"/>
                <w:szCs w:val="21"/>
              </w:rPr>
              <w:t>2019</w:t>
            </w:r>
            <w:r>
              <w:rPr>
                <w:b w:val="0"/>
                <w:bCs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法定代表人</w:t>
            </w:r>
          </w:p>
        </w:tc>
        <w:tc>
          <w:tcPr>
            <w:tcW w:w="5032" w:type="dxa"/>
            <w:gridSpan w:val="3"/>
            <w:noWrap w:val="0"/>
            <w:vAlign w:val="center"/>
          </w:tcPr>
          <w:p>
            <w:pPr>
              <w:jc w:val="right"/>
              <w:rPr>
                <w:b w:val="0"/>
                <w:bCs w:val="0"/>
                <w:sz w:val="21"/>
                <w:szCs w:val="21"/>
              </w:rPr>
            </w:pPr>
            <w:r>
              <w:rPr>
                <w:b w:val="0"/>
                <w:bCs w:val="0"/>
                <w:sz w:val="21"/>
                <w:szCs w:val="21"/>
              </w:rPr>
              <w:t>(签章)</w:t>
            </w: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委托代理人</w:t>
            </w:r>
          </w:p>
        </w:tc>
        <w:tc>
          <w:tcPr>
            <w:tcW w:w="5032" w:type="dxa"/>
            <w:gridSpan w:val="3"/>
            <w:noWrap w:val="0"/>
            <w:vAlign w:val="center"/>
          </w:tcPr>
          <w:p>
            <w:pPr>
              <w:jc w:val="right"/>
              <w:rPr>
                <w:b w:val="0"/>
                <w:bCs w:val="0"/>
                <w:sz w:val="21"/>
                <w:szCs w:val="21"/>
              </w:rPr>
            </w:pPr>
            <w:r>
              <w:rPr>
                <w:b w:val="0"/>
                <w:bCs w:val="0"/>
                <w:sz w:val="21"/>
                <w:szCs w:val="21"/>
              </w:rPr>
              <w:t>(签章)</w:t>
            </w: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联系(经办)人</w:t>
            </w:r>
          </w:p>
        </w:tc>
        <w:tc>
          <w:tcPr>
            <w:tcW w:w="5032" w:type="dxa"/>
            <w:gridSpan w:val="3"/>
            <w:noWrap w:val="0"/>
            <w:vAlign w:val="center"/>
          </w:tcPr>
          <w:p>
            <w:pPr>
              <w:jc w:val="right"/>
              <w:rPr>
                <w:b w:val="0"/>
                <w:bCs w:val="0"/>
                <w:sz w:val="21"/>
                <w:szCs w:val="21"/>
              </w:rPr>
            </w:pPr>
            <w:r>
              <w:rPr>
                <w:b w:val="0"/>
                <w:bCs w:val="0"/>
                <w:sz w:val="21"/>
                <w:szCs w:val="21"/>
              </w:rPr>
              <w:t>(签章)</w:t>
            </w: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contextualSpacing/>
              <w:jc w:val="center"/>
              <w:rPr>
                <w:b w:val="0"/>
                <w:bCs w:val="0"/>
                <w:sz w:val="21"/>
                <w:szCs w:val="21"/>
              </w:rPr>
            </w:pPr>
            <w:r>
              <w:rPr>
                <w:b w:val="0"/>
                <w:bCs w:val="0"/>
                <w:sz w:val="21"/>
                <w:szCs w:val="21"/>
              </w:rPr>
              <w:t>住所</w:t>
            </w:r>
            <w:r>
              <w:rPr>
                <w:b w:val="0"/>
                <w:bCs w:val="0"/>
                <w:sz w:val="21"/>
                <w:szCs w:val="21"/>
              </w:rPr>
              <w:br w:type="textWrapping"/>
            </w:r>
            <w:r>
              <w:rPr>
                <w:b w:val="0"/>
                <w:bCs w:val="0"/>
                <w:sz w:val="21"/>
                <w:szCs w:val="21"/>
              </w:rPr>
              <w:t>(通讯地址)</w:t>
            </w:r>
          </w:p>
        </w:tc>
        <w:tc>
          <w:tcPr>
            <w:tcW w:w="2765" w:type="dxa"/>
            <w:noWrap w:val="0"/>
            <w:vAlign w:val="center"/>
          </w:tcPr>
          <w:p>
            <w:pPr>
              <w:jc w:val="left"/>
              <w:rPr>
                <w:b w:val="0"/>
                <w:bCs w:val="0"/>
                <w:sz w:val="21"/>
                <w:szCs w:val="21"/>
              </w:rPr>
            </w:pPr>
          </w:p>
        </w:tc>
        <w:tc>
          <w:tcPr>
            <w:tcW w:w="807" w:type="dxa"/>
            <w:noWrap w:val="0"/>
            <w:vAlign w:val="center"/>
          </w:tcPr>
          <w:p>
            <w:pPr>
              <w:jc w:val="center"/>
              <w:rPr>
                <w:b w:val="0"/>
                <w:bCs w:val="0"/>
                <w:sz w:val="21"/>
                <w:szCs w:val="21"/>
              </w:rPr>
            </w:pPr>
            <w:r>
              <w:rPr>
                <w:b w:val="0"/>
                <w:bCs w:val="0"/>
                <w:sz w:val="21"/>
                <w:szCs w:val="21"/>
              </w:rPr>
              <w:t>邮政编码</w:t>
            </w:r>
          </w:p>
        </w:tc>
        <w:tc>
          <w:tcPr>
            <w:tcW w:w="1460" w:type="dxa"/>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电    话</w:t>
            </w:r>
          </w:p>
        </w:tc>
        <w:tc>
          <w:tcPr>
            <w:tcW w:w="5032" w:type="dxa"/>
            <w:gridSpan w:val="3"/>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开户银行</w:t>
            </w:r>
          </w:p>
        </w:tc>
        <w:tc>
          <w:tcPr>
            <w:tcW w:w="5032" w:type="dxa"/>
            <w:gridSpan w:val="3"/>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trPr>
        <w:tc>
          <w:tcPr>
            <w:tcW w:w="673" w:type="dxa"/>
            <w:vMerge w:val="continue"/>
            <w:noWrap w:val="0"/>
            <w:vAlign w:val="top"/>
          </w:tcPr>
          <w:p>
            <w:pPr>
              <w:rPr>
                <w:b w:val="0"/>
                <w:bCs w:val="0"/>
                <w:sz w:val="21"/>
                <w:szCs w:val="21"/>
              </w:rPr>
            </w:pPr>
          </w:p>
        </w:tc>
        <w:tc>
          <w:tcPr>
            <w:tcW w:w="1699" w:type="dxa"/>
            <w:noWrap w:val="0"/>
            <w:vAlign w:val="center"/>
          </w:tcPr>
          <w:p>
            <w:pPr>
              <w:jc w:val="center"/>
              <w:rPr>
                <w:b w:val="0"/>
                <w:bCs w:val="0"/>
                <w:sz w:val="21"/>
                <w:szCs w:val="21"/>
              </w:rPr>
            </w:pPr>
            <w:r>
              <w:rPr>
                <w:b w:val="0"/>
                <w:bCs w:val="0"/>
                <w:sz w:val="21"/>
                <w:szCs w:val="21"/>
              </w:rPr>
              <w:t>帐号</w:t>
            </w:r>
          </w:p>
        </w:tc>
        <w:tc>
          <w:tcPr>
            <w:tcW w:w="5032" w:type="dxa"/>
            <w:gridSpan w:val="3"/>
            <w:noWrap w:val="0"/>
            <w:vAlign w:val="center"/>
          </w:tcPr>
          <w:p>
            <w:pPr>
              <w:jc w:val="center"/>
              <w:rPr>
                <w:b w:val="0"/>
                <w:bCs w:val="0"/>
                <w:sz w:val="21"/>
                <w:szCs w:val="21"/>
              </w:rPr>
            </w:pPr>
          </w:p>
        </w:tc>
        <w:tc>
          <w:tcPr>
            <w:tcW w:w="2318" w:type="dxa"/>
            <w:vMerge w:val="continue"/>
            <w:noWrap w:val="0"/>
            <w:vAlign w:val="center"/>
          </w:tcPr>
          <w:p>
            <w:pPr>
              <w:jc w:val="center"/>
              <w:rPr>
                <w:b w:val="0"/>
                <w:bCs w:val="0"/>
                <w:sz w:val="21"/>
                <w:szCs w:val="21"/>
              </w:rPr>
            </w:pPr>
          </w:p>
        </w:tc>
      </w:tr>
    </w:tbl>
    <w:p>
      <w:pPr>
        <w:spacing w:line="520" w:lineRule="exact"/>
        <w:rPr>
          <w:rFonts w:hint="eastAsia" w:ascii="宋体"/>
          <w:szCs w:val="21"/>
        </w:rPr>
      </w:pPr>
      <w:r>
        <w:br w:type="page"/>
      </w:r>
      <w:bookmarkStart w:id="44" w:name="_Toc246470965"/>
      <w:bookmarkStart w:id="45" w:name="_Toc523942269"/>
      <w:bookmarkStart w:id="46" w:name="_Toc407647133"/>
      <w:bookmarkStart w:id="47" w:name="_Toc437508136"/>
      <w:bookmarkStart w:id="48" w:name="_Toc298416110"/>
    </w:p>
    <w:p>
      <w:pPr>
        <w:pStyle w:val="4"/>
        <w:rPr>
          <w:rFonts w:hint="eastAsia"/>
          <w:sz w:val="24"/>
          <w:szCs w:val="24"/>
        </w:rPr>
      </w:pPr>
      <w:r>
        <w:rPr>
          <w:rFonts w:hint="eastAsia"/>
          <w:sz w:val="24"/>
          <w:szCs w:val="24"/>
        </w:rPr>
        <w:t>廉政合同</w:t>
      </w:r>
      <w:bookmarkEnd w:id="44"/>
      <w:bookmarkEnd w:id="45"/>
      <w:bookmarkEnd w:id="46"/>
      <w:bookmarkEnd w:id="47"/>
      <w:bookmarkEnd w:id="48"/>
    </w:p>
    <w:p>
      <w:pPr>
        <w:tabs>
          <w:tab w:val="left" w:pos="1260"/>
        </w:tabs>
        <w:spacing w:line="324" w:lineRule="auto"/>
        <w:ind w:firstLine="540"/>
        <w:rPr>
          <w:rFonts w:hint="eastAsia" w:ascii="宋体" w:hAnsi="宋体"/>
          <w:sz w:val="21"/>
          <w:szCs w:val="21"/>
        </w:rPr>
      </w:pPr>
      <w:bookmarkStart w:id="49" w:name="_Toc298416111"/>
      <w:r>
        <w:rPr>
          <w:rFonts w:hint="eastAsia" w:ascii="宋体" w:hAnsi="宋体"/>
          <w:sz w:val="21"/>
          <w:szCs w:val="21"/>
        </w:rPr>
        <w:t>根据有关工程建设、廉政建设的规定，为做好工程建设中的党风廉政建设，保证工程建设高效优质，保证建设资金的安全和有效使用以及投资效益，本项目发包人</w:t>
      </w:r>
      <w:r>
        <w:rPr>
          <w:rFonts w:ascii="宋体" w:hAnsi="宋体"/>
          <w:sz w:val="21"/>
          <w:szCs w:val="21"/>
          <w:u w:val="single"/>
        </w:rPr>
        <w:t xml:space="preserve">   </w:t>
      </w:r>
      <w:r>
        <w:rPr>
          <w:rFonts w:hint="eastAsia" w:ascii="宋体" w:hAnsi="宋体"/>
          <w:sz w:val="21"/>
          <w:szCs w:val="21"/>
          <w:u w:val="single"/>
        </w:rPr>
        <w:t xml:space="preserve">      </w:t>
      </w:r>
      <w:r>
        <w:rPr>
          <w:rFonts w:hint="eastAsia" w:ascii="宋体" w:hAnsi="宋体"/>
          <w:sz w:val="21"/>
          <w:szCs w:val="21"/>
        </w:rPr>
        <w:t>（以下称甲方）与咨询单位</w:t>
      </w:r>
      <w:r>
        <w:rPr>
          <w:rFonts w:hint="eastAsia" w:ascii="宋体" w:hAnsi="宋体"/>
          <w:sz w:val="21"/>
          <w:szCs w:val="21"/>
          <w:u w:val="single"/>
        </w:rPr>
        <w:t xml:space="preserve">  （全称）   </w:t>
      </w:r>
      <w:r>
        <w:rPr>
          <w:rFonts w:hint="eastAsia" w:ascii="宋体" w:hAnsi="宋体"/>
          <w:sz w:val="21"/>
          <w:szCs w:val="21"/>
        </w:rPr>
        <w:t>（以下称乙方），特订立如下合同。</w:t>
      </w:r>
      <w:bookmarkEnd w:id="49"/>
    </w:p>
    <w:p>
      <w:pPr>
        <w:numPr>
          <w:ilvl w:val="0"/>
          <w:numId w:val="2"/>
        </w:numPr>
        <w:tabs>
          <w:tab w:val="left" w:pos="1260"/>
        </w:tabs>
        <w:spacing w:line="324" w:lineRule="auto"/>
        <w:rPr>
          <w:rFonts w:hint="eastAsia" w:ascii="宋体" w:hAnsi="宋体"/>
          <w:sz w:val="21"/>
          <w:szCs w:val="21"/>
        </w:rPr>
      </w:pPr>
      <w:r>
        <w:rPr>
          <w:rFonts w:hint="eastAsia" w:ascii="宋体" w:hAnsi="宋体"/>
          <w:sz w:val="21"/>
          <w:szCs w:val="21"/>
        </w:rPr>
        <w:t xml:space="preserve">  </w:t>
      </w:r>
      <w:bookmarkStart w:id="50" w:name="_Toc298416112"/>
      <w:r>
        <w:rPr>
          <w:rFonts w:hint="eastAsia" w:ascii="宋体" w:hAnsi="宋体"/>
          <w:sz w:val="21"/>
          <w:szCs w:val="21"/>
        </w:rPr>
        <w:t>甲乙双方的权利和义务</w:t>
      </w:r>
      <w:bookmarkEnd w:id="50"/>
    </w:p>
    <w:p>
      <w:pPr>
        <w:tabs>
          <w:tab w:val="left" w:pos="1260"/>
        </w:tabs>
        <w:spacing w:line="324" w:lineRule="auto"/>
        <w:ind w:firstLine="540"/>
        <w:rPr>
          <w:rFonts w:hint="eastAsia" w:ascii="宋体" w:hAnsi="宋体"/>
          <w:sz w:val="21"/>
          <w:szCs w:val="21"/>
        </w:rPr>
      </w:pPr>
      <w:bookmarkStart w:id="51" w:name="_Toc298416113"/>
      <w:r>
        <w:rPr>
          <w:rFonts w:ascii="宋体" w:hAnsi="宋体"/>
          <w:sz w:val="21"/>
          <w:szCs w:val="21"/>
        </w:rPr>
        <w:t>(</w:t>
      </w:r>
      <w:r>
        <w:rPr>
          <w:rFonts w:hint="eastAsia" w:ascii="宋体" w:hAnsi="宋体"/>
          <w:sz w:val="21"/>
          <w:szCs w:val="21"/>
        </w:rPr>
        <w:t>一)严格遵守党和国家有关法律法规及省、市相关部门的有关规定。</w:t>
      </w:r>
      <w:bookmarkEnd w:id="51"/>
    </w:p>
    <w:p>
      <w:pPr>
        <w:tabs>
          <w:tab w:val="left" w:pos="1260"/>
        </w:tabs>
        <w:spacing w:line="324" w:lineRule="auto"/>
        <w:ind w:firstLine="540"/>
        <w:rPr>
          <w:rFonts w:hint="eastAsia" w:ascii="宋体" w:hAnsi="宋体"/>
          <w:sz w:val="21"/>
          <w:szCs w:val="21"/>
        </w:rPr>
      </w:pPr>
      <w:bookmarkStart w:id="52" w:name="_Toc298416114"/>
      <w:r>
        <w:rPr>
          <w:rFonts w:ascii="宋体" w:hAnsi="宋体"/>
          <w:sz w:val="21"/>
          <w:szCs w:val="21"/>
        </w:rPr>
        <w:t>(</w:t>
      </w:r>
      <w:r>
        <w:rPr>
          <w:rFonts w:hint="eastAsia" w:ascii="宋体" w:hAnsi="宋体"/>
          <w:sz w:val="21"/>
          <w:szCs w:val="21"/>
        </w:rPr>
        <w:t>二</w:t>
      </w:r>
      <w:r>
        <w:rPr>
          <w:rFonts w:ascii="宋体" w:hAnsi="宋体"/>
          <w:sz w:val="21"/>
          <w:szCs w:val="21"/>
        </w:rPr>
        <w:t>)</w:t>
      </w:r>
      <w:r>
        <w:rPr>
          <w:rFonts w:hint="eastAsia" w:ascii="宋体" w:hAnsi="宋体"/>
          <w:sz w:val="21"/>
          <w:szCs w:val="21"/>
        </w:rPr>
        <w:t>严格执行项目合同文件，自觉按合同办事。</w:t>
      </w:r>
      <w:bookmarkEnd w:id="52"/>
    </w:p>
    <w:p>
      <w:pPr>
        <w:tabs>
          <w:tab w:val="left" w:pos="1260"/>
        </w:tabs>
        <w:spacing w:line="324" w:lineRule="auto"/>
        <w:ind w:firstLine="540"/>
        <w:rPr>
          <w:rFonts w:hint="eastAsia" w:ascii="宋体" w:hAnsi="宋体"/>
          <w:sz w:val="21"/>
          <w:szCs w:val="21"/>
        </w:rPr>
      </w:pPr>
      <w:bookmarkStart w:id="53" w:name="_Toc298416115"/>
      <w:r>
        <w:rPr>
          <w:rFonts w:ascii="宋体" w:hAnsi="宋体"/>
          <w:sz w:val="21"/>
          <w:szCs w:val="21"/>
        </w:rPr>
        <w:t>(</w:t>
      </w:r>
      <w:r>
        <w:rPr>
          <w:rFonts w:hint="eastAsia" w:ascii="宋体" w:hAnsi="宋体"/>
          <w:sz w:val="21"/>
          <w:szCs w:val="21"/>
        </w:rPr>
        <w:t>三</w:t>
      </w:r>
      <w:r>
        <w:rPr>
          <w:rFonts w:ascii="宋体" w:hAnsi="宋体"/>
          <w:sz w:val="21"/>
          <w:szCs w:val="21"/>
        </w:rPr>
        <w:t>)</w:t>
      </w:r>
      <w:r>
        <w:rPr>
          <w:rFonts w:hint="eastAsia" w:ascii="宋体" w:hAnsi="宋体"/>
          <w:sz w:val="21"/>
          <w:szCs w:val="21"/>
        </w:rPr>
        <w:t>双方的业务活动坚持公开、公正、诚信、透明的原则（法律认定的商业秘密和合同文件另有规定除外），不得损害国家和集体利益，违反工程建设管</w:t>
      </w:r>
      <w:bookmarkEnd w:id="53"/>
      <w:bookmarkStart w:id="54" w:name="_Toc298416116"/>
      <w:r>
        <w:rPr>
          <w:rFonts w:hint="eastAsia" w:ascii="宋体" w:hAnsi="宋体"/>
          <w:sz w:val="21"/>
          <w:szCs w:val="21"/>
        </w:rPr>
        <w:t>理规章制度。</w:t>
      </w:r>
      <w:bookmarkEnd w:id="54"/>
    </w:p>
    <w:p>
      <w:pPr>
        <w:tabs>
          <w:tab w:val="left" w:pos="1260"/>
        </w:tabs>
        <w:spacing w:line="324" w:lineRule="auto"/>
        <w:ind w:firstLine="540"/>
        <w:rPr>
          <w:rFonts w:hint="eastAsia" w:ascii="宋体" w:hAnsi="宋体"/>
          <w:sz w:val="21"/>
          <w:szCs w:val="21"/>
        </w:rPr>
      </w:pPr>
      <w:bookmarkStart w:id="55" w:name="_Toc298416117"/>
      <w:r>
        <w:rPr>
          <w:rFonts w:ascii="宋体" w:hAnsi="宋体"/>
          <w:sz w:val="21"/>
          <w:szCs w:val="21"/>
        </w:rPr>
        <w:t>(</w:t>
      </w:r>
      <w:r>
        <w:rPr>
          <w:rFonts w:hint="eastAsia" w:ascii="宋体" w:hAnsi="宋体"/>
          <w:sz w:val="21"/>
          <w:szCs w:val="21"/>
        </w:rPr>
        <w:t>四</w:t>
      </w:r>
      <w:r>
        <w:rPr>
          <w:rFonts w:ascii="宋体" w:hAnsi="宋体"/>
          <w:sz w:val="21"/>
          <w:szCs w:val="21"/>
        </w:rPr>
        <w:t>)</w:t>
      </w:r>
      <w:r>
        <w:rPr>
          <w:rFonts w:hint="eastAsia" w:ascii="宋体" w:hAnsi="宋体"/>
          <w:sz w:val="21"/>
          <w:szCs w:val="21"/>
        </w:rPr>
        <w:t>建立健全廉政制度，开展廉政教育，设立廉政告示牌，公布举报电话，监督并认真查处违法违纪行为。</w:t>
      </w:r>
      <w:bookmarkEnd w:id="55"/>
    </w:p>
    <w:p>
      <w:pPr>
        <w:tabs>
          <w:tab w:val="left" w:pos="1260"/>
        </w:tabs>
        <w:spacing w:line="324" w:lineRule="auto"/>
        <w:ind w:firstLine="540"/>
        <w:rPr>
          <w:rFonts w:hint="eastAsia" w:ascii="宋体" w:hAnsi="宋体"/>
          <w:sz w:val="21"/>
          <w:szCs w:val="21"/>
        </w:rPr>
      </w:pPr>
      <w:bookmarkStart w:id="56" w:name="_Toc298416118"/>
      <w:r>
        <w:rPr>
          <w:rFonts w:ascii="宋体" w:hAnsi="宋体"/>
          <w:sz w:val="21"/>
          <w:szCs w:val="21"/>
        </w:rPr>
        <w:t>(</w:t>
      </w:r>
      <w:r>
        <w:rPr>
          <w:rFonts w:hint="eastAsia" w:ascii="宋体" w:hAnsi="宋体"/>
          <w:sz w:val="21"/>
          <w:szCs w:val="21"/>
        </w:rPr>
        <w:t>五</w:t>
      </w:r>
      <w:r>
        <w:rPr>
          <w:rFonts w:ascii="宋体" w:hAnsi="宋体"/>
          <w:sz w:val="21"/>
          <w:szCs w:val="21"/>
        </w:rPr>
        <w:t>)</w:t>
      </w:r>
      <w:r>
        <w:rPr>
          <w:rFonts w:hint="eastAsia" w:ascii="宋体" w:hAnsi="宋体"/>
          <w:sz w:val="21"/>
          <w:szCs w:val="21"/>
        </w:rPr>
        <w:t>发现对方在业务活动中有违反廉政规定的行为，有及时提醒对方纠正的权利和义务。</w:t>
      </w:r>
      <w:bookmarkEnd w:id="56"/>
    </w:p>
    <w:p>
      <w:pPr>
        <w:tabs>
          <w:tab w:val="left" w:pos="1260"/>
        </w:tabs>
        <w:spacing w:line="324" w:lineRule="auto"/>
        <w:ind w:firstLine="540"/>
        <w:rPr>
          <w:rFonts w:hint="eastAsia" w:ascii="宋体" w:hAnsi="宋体"/>
          <w:sz w:val="21"/>
          <w:szCs w:val="21"/>
        </w:rPr>
      </w:pPr>
      <w:bookmarkStart w:id="57" w:name="_Toc298416119"/>
      <w:r>
        <w:rPr>
          <w:rFonts w:ascii="宋体" w:hAnsi="宋体"/>
          <w:sz w:val="21"/>
          <w:szCs w:val="21"/>
        </w:rPr>
        <w:t>(</w:t>
      </w:r>
      <w:r>
        <w:rPr>
          <w:rFonts w:hint="eastAsia" w:ascii="宋体" w:hAnsi="宋体"/>
          <w:sz w:val="21"/>
          <w:szCs w:val="21"/>
        </w:rPr>
        <w:t>六</w:t>
      </w:r>
      <w:r>
        <w:rPr>
          <w:rFonts w:ascii="宋体" w:hAnsi="宋体"/>
          <w:sz w:val="21"/>
          <w:szCs w:val="21"/>
        </w:rPr>
        <w:t>)</w:t>
      </w:r>
      <w:r>
        <w:rPr>
          <w:rFonts w:hint="eastAsia" w:ascii="宋体" w:hAnsi="宋体"/>
          <w:sz w:val="21"/>
          <w:szCs w:val="21"/>
        </w:rPr>
        <w:t>发现对方严重违反本合同义务条款的行为，有向其上级有关部门举报、建议给予处理并要求告知处理结果的权利。</w:t>
      </w:r>
      <w:bookmarkEnd w:id="57"/>
    </w:p>
    <w:p>
      <w:pPr>
        <w:numPr>
          <w:ilvl w:val="0"/>
          <w:numId w:val="2"/>
        </w:numPr>
        <w:tabs>
          <w:tab w:val="left" w:pos="1260"/>
        </w:tabs>
        <w:spacing w:line="324" w:lineRule="auto"/>
        <w:rPr>
          <w:rFonts w:hint="eastAsia" w:ascii="宋体" w:hAnsi="宋体"/>
          <w:sz w:val="21"/>
          <w:szCs w:val="21"/>
        </w:rPr>
      </w:pPr>
      <w:r>
        <w:rPr>
          <w:rFonts w:hint="eastAsia" w:ascii="宋体" w:hAnsi="宋体"/>
          <w:sz w:val="21"/>
          <w:szCs w:val="21"/>
        </w:rPr>
        <w:t xml:space="preserve"> </w:t>
      </w:r>
      <w:bookmarkStart w:id="58" w:name="_Toc298416120"/>
      <w:r>
        <w:rPr>
          <w:rFonts w:hint="eastAsia" w:ascii="宋体" w:hAnsi="宋体"/>
          <w:sz w:val="21"/>
          <w:szCs w:val="21"/>
        </w:rPr>
        <w:t>甲方的义务</w:t>
      </w:r>
      <w:bookmarkEnd w:id="58"/>
    </w:p>
    <w:p>
      <w:pPr>
        <w:tabs>
          <w:tab w:val="left" w:pos="1260"/>
        </w:tabs>
        <w:spacing w:line="324" w:lineRule="auto"/>
        <w:ind w:firstLine="540"/>
        <w:rPr>
          <w:rFonts w:hint="eastAsia" w:ascii="宋体" w:hAnsi="宋体"/>
          <w:sz w:val="21"/>
          <w:szCs w:val="21"/>
        </w:rPr>
      </w:pPr>
      <w:bookmarkStart w:id="59" w:name="_Toc298416121"/>
      <w:r>
        <w:rPr>
          <w:rFonts w:ascii="宋体" w:hAnsi="宋体"/>
          <w:sz w:val="21"/>
          <w:szCs w:val="21"/>
        </w:rPr>
        <w:t>(</w:t>
      </w:r>
      <w:r>
        <w:rPr>
          <w:rFonts w:hint="eastAsia" w:ascii="宋体" w:hAnsi="宋体"/>
          <w:sz w:val="21"/>
          <w:szCs w:val="21"/>
        </w:rPr>
        <w:t>一</w:t>
      </w:r>
      <w:r>
        <w:rPr>
          <w:rFonts w:ascii="宋体" w:hAnsi="宋体"/>
          <w:sz w:val="21"/>
          <w:szCs w:val="21"/>
        </w:rPr>
        <w:t>)</w:t>
      </w:r>
      <w:r>
        <w:rPr>
          <w:rFonts w:hint="eastAsia" w:ascii="宋体" w:hAnsi="宋体"/>
          <w:sz w:val="21"/>
          <w:szCs w:val="21"/>
        </w:rPr>
        <w:t>甲方及其工作人员不得索要或接受乙方的礼金、有价证券和贵重物品，不得在乙方报销任何应由甲方或个人支付的费用等。</w:t>
      </w:r>
      <w:bookmarkEnd w:id="59"/>
    </w:p>
    <w:p>
      <w:pPr>
        <w:tabs>
          <w:tab w:val="left" w:pos="1260"/>
        </w:tabs>
        <w:spacing w:line="324" w:lineRule="auto"/>
        <w:ind w:firstLine="540"/>
        <w:rPr>
          <w:rFonts w:hint="eastAsia" w:ascii="宋体" w:hAnsi="宋体"/>
          <w:sz w:val="21"/>
          <w:szCs w:val="21"/>
        </w:rPr>
      </w:pPr>
      <w:bookmarkStart w:id="60" w:name="_Toc298416122"/>
      <w:r>
        <w:rPr>
          <w:rFonts w:ascii="宋体" w:hAnsi="宋体"/>
          <w:sz w:val="21"/>
          <w:szCs w:val="21"/>
        </w:rPr>
        <w:t>(</w:t>
      </w:r>
      <w:r>
        <w:rPr>
          <w:rFonts w:hint="eastAsia" w:ascii="宋体" w:hAnsi="宋体"/>
          <w:sz w:val="21"/>
          <w:szCs w:val="21"/>
        </w:rPr>
        <w:t>二</w:t>
      </w:r>
      <w:r>
        <w:rPr>
          <w:rFonts w:ascii="宋体" w:hAnsi="宋体"/>
          <w:sz w:val="21"/>
          <w:szCs w:val="21"/>
        </w:rPr>
        <w:t>)</w:t>
      </w:r>
      <w:r>
        <w:rPr>
          <w:rFonts w:hint="eastAsia" w:ascii="宋体" w:hAnsi="宋体"/>
          <w:sz w:val="21"/>
          <w:szCs w:val="21"/>
        </w:rPr>
        <w:t>甲方工作人员不得参加乙方安排的超标准宴请和娱乐活动；不得接受乙方提供的通讯工具、交通工具和高档办公用品等。</w:t>
      </w:r>
      <w:bookmarkEnd w:id="60"/>
    </w:p>
    <w:p>
      <w:pPr>
        <w:tabs>
          <w:tab w:val="left" w:pos="1260"/>
        </w:tabs>
        <w:spacing w:line="324" w:lineRule="auto"/>
        <w:ind w:firstLine="540"/>
        <w:rPr>
          <w:rFonts w:hint="eastAsia" w:ascii="宋体" w:hAnsi="宋体"/>
          <w:sz w:val="21"/>
          <w:szCs w:val="21"/>
        </w:rPr>
      </w:pPr>
      <w:bookmarkStart w:id="61" w:name="_Toc298416123"/>
      <w:r>
        <w:rPr>
          <w:rFonts w:ascii="宋体" w:hAnsi="宋体"/>
          <w:sz w:val="21"/>
          <w:szCs w:val="21"/>
        </w:rPr>
        <w:t>(</w:t>
      </w:r>
      <w:r>
        <w:rPr>
          <w:rFonts w:hint="eastAsia" w:ascii="宋体" w:hAnsi="宋体"/>
          <w:sz w:val="21"/>
          <w:szCs w:val="21"/>
        </w:rPr>
        <w:t>三</w:t>
      </w:r>
      <w:r>
        <w:rPr>
          <w:rFonts w:ascii="宋体" w:hAnsi="宋体"/>
          <w:sz w:val="21"/>
          <w:szCs w:val="21"/>
        </w:rPr>
        <w:t>)</w:t>
      </w:r>
      <w:r>
        <w:rPr>
          <w:rFonts w:hint="eastAsia" w:ascii="宋体" w:hAnsi="宋体"/>
          <w:sz w:val="21"/>
          <w:szCs w:val="21"/>
        </w:rPr>
        <w:t>甲方及其工作人员不得要求或者接受乙方为其住房装修、婚丧嫁娶活动、配偶子女的工作安排以及出国出境、旅游等提供方便等。</w:t>
      </w:r>
      <w:bookmarkEnd w:id="61"/>
    </w:p>
    <w:p>
      <w:pPr>
        <w:tabs>
          <w:tab w:val="left" w:pos="1260"/>
        </w:tabs>
        <w:spacing w:line="324" w:lineRule="auto"/>
        <w:ind w:firstLine="540"/>
        <w:rPr>
          <w:rFonts w:hint="eastAsia" w:ascii="宋体" w:hAnsi="宋体"/>
          <w:sz w:val="21"/>
          <w:szCs w:val="21"/>
        </w:rPr>
      </w:pPr>
      <w:bookmarkStart w:id="62" w:name="_Toc298416124"/>
      <w:r>
        <w:rPr>
          <w:rFonts w:ascii="宋体" w:hAnsi="宋体"/>
          <w:sz w:val="21"/>
          <w:szCs w:val="21"/>
        </w:rPr>
        <w:t>(</w:t>
      </w:r>
      <w:r>
        <w:rPr>
          <w:rFonts w:hint="eastAsia" w:ascii="宋体" w:hAnsi="宋体"/>
          <w:sz w:val="21"/>
          <w:szCs w:val="21"/>
        </w:rPr>
        <w:t>四</w:t>
      </w:r>
      <w:r>
        <w:rPr>
          <w:rFonts w:ascii="宋体" w:hAnsi="宋体"/>
          <w:sz w:val="21"/>
          <w:szCs w:val="21"/>
        </w:rPr>
        <w:t>)</w:t>
      </w:r>
      <w:r>
        <w:rPr>
          <w:rFonts w:hint="eastAsia" w:ascii="宋体" w:hAnsi="宋体"/>
          <w:sz w:val="21"/>
          <w:szCs w:val="21"/>
        </w:rPr>
        <w:t>甲方工作人员及其配偶、子女不得从事与甲方研究工作有关的经济活动。</w:t>
      </w:r>
      <w:bookmarkEnd w:id="62"/>
    </w:p>
    <w:p>
      <w:pPr>
        <w:numPr>
          <w:ilvl w:val="0"/>
          <w:numId w:val="2"/>
        </w:numPr>
        <w:tabs>
          <w:tab w:val="left" w:pos="1260"/>
        </w:tabs>
        <w:spacing w:line="324" w:lineRule="auto"/>
        <w:rPr>
          <w:rFonts w:hint="eastAsia" w:ascii="宋体" w:hAnsi="宋体"/>
          <w:sz w:val="21"/>
          <w:szCs w:val="21"/>
        </w:rPr>
      </w:pPr>
      <w:r>
        <w:rPr>
          <w:rFonts w:hint="eastAsia" w:ascii="宋体" w:hAnsi="宋体"/>
          <w:sz w:val="21"/>
          <w:szCs w:val="21"/>
        </w:rPr>
        <w:t xml:space="preserve">  </w:t>
      </w:r>
      <w:bookmarkStart w:id="63" w:name="_Toc298416125"/>
      <w:r>
        <w:rPr>
          <w:rFonts w:hint="eastAsia" w:ascii="宋体" w:hAnsi="宋体"/>
          <w:sz w:val="21"/>
          <w:szCs w:val="21"/>
        </w:rPr>
        <w:t>乙方义务</w:t>
      </w:r>
      <w:bookmarkEnd w:id="63"/>
    </w:p>
    <w:p>
      <w:pPr>
        <w:tabs>
          <w:tab w:val="left" w:pos="1260"/>
        </w:tabs>
        <w:spacing w:line="324" w:lineRule="auto"/>
        <w:ind w:firstLine="540"/>
        <w:rPr>
          <w:rFonts w:hint="eastAsia" w:ascii="宋体" w:hAnsi="宋体"/>
          <w:sz w:val="21"/>
          <w:szCs w:val="21"/>
        </w:rPr>
      </w:pPr>
      <w:bookmarkStart w:id="64" w:name="_Toc298416126"/>
      <w:r>
        <w:rPr>
          <w:rFonts w:ascii="宋体" w:hAnsi="宋体"/>
          <w:sz w:val="21"/>
          <w:szCs w:val="21"/>
        </w:rPr>
        <w:t>(</w:t>
      </w:r>
      <w:r>
        <w:rPr>
          <w:rFonts w:hint="eastAsia" w:ascii="宋体" w:hAnsi="宋体"/>
          <w:sz w:val="21"/>
          <w:szCs w:val="21"/>
        </w:rPr>
        <w:t>一</w:t>
      </w:r>
      <w:r>
        <w:rPr>
          <w:rFonts w:ascii="宋体" w:hAnsi="宋体"/>
          <w:sz w:val="21"/>
          <w:szCs w:val="21"/>
        </w:rPr>
        <w:t>)</w:t>
      </w:r>
      <w:r>
        <w:rPr>
          <w:rFonts w:hint="eastAsia" w:ascii="宋体" w:hAnsi="宋体"/>
          <w:sz w:val="21"/>
          <w:szCs w:val="21"/>
        </w:rPr>
        <w:t>乙方不得以任何理由向甲方及其工作人员行贿或馈赠礼金、有价证券、贵重礼品。</w:t>
      </w:r>
      <w:bookmarkEnd w:id="64"/>
    </w:p>
    <w:p>
      <w:pPr>
        <w:tabs>
          <w:tab w:val="left" w:pos="1260"/>
        </w:tabs>
        <w:spacing w:line="324" w:lineRule="auto"/>
        <w:ind w:firstLine="540"/>
        <w:rPr>
          <w:rFonts w:hint="eastAsia" w:ascii="宋体" w:hAnsi="宋体"/>
          <w:sz w:val="21"/>
          <w:szCs w:val="21"/>
        </w:rPr>
      </w:pPr>
      <w:bookmarkStart w:id="65" w:name="_Toc298416127"/>
      <w:r>
        <w:rPr>
          <w:rFonts w:ascii="宋体" w:hAnsi="宋体"/>
          <w:sz w:val="21"/>
          <w:szCs w:val="21"/>
        </w:rPr>
        <w:t>(</w:t>
      </w:r>
      <w:r>
        <w:rPr>
          <w:rFonts w:hint="eastAsia" w:ascii="宋体" w:hAnsi="宋体"/>
          <w:sz w:val="21"/>
          <w:szCs w:val="21"/>
        </w:rPr>
        <w:t>二</w:t>
      </w:r>
      <w:r>
        <w:rPr>
          <w:rFonts w:ascii="宋体" w:hAnsi="宋体"/>
          <w:sz w:val="21"/>
          <w:szCs w:val="21"/>
        </w:rPr>
        <w:t>)</w:t>
      </w:r>
      <w:r>
        <w:rPr>
          <w:rFonts w:hint="eastAsia" w:ascii="宋体" w:hAnsi="宋体"/>
          <w:sz w:val="21"/>
          <w:szCs w:val="21"/>
        </w:rPr>
        <w:t>乙方不得以任何名义为甲方及其工作人员报销应由甲方单位或个人支付的任何费用。</w:t>
      </w:r>
      <w:bookmarkEnd w:id="65"/>
    </w:p>
    <w:p>
      <w:pPr>
        <w:tabs>
          <w:tab w:val="left" w:pos="1260"/>
        </w:tabs>
        <w:spacing w:line="324" w:lineRule="auto"/>
        <w:ind w:firstLine="540"/>
        <w:rPr>
          <w:rFonts w:hint="eastAsia" w:ascii="宋体" w:hAnsi="宋体"/>
          <w:sz w:val="21"/>
          <w:szCs w:val="21"/>
        </w:rPr>
      </w:pPr>
      <w:bookmarkStart w:id="66" w:name="_Toc298416128"/>
      <w:r>
        <w:rPr>
          <w:rFonts w:ascii="宋体" w:hAnsi="宋体"/>
          <w:sz w:val="21"/>
          <w:szCs w:val="21"/>
        </w:rPr>
        <w:t>(</w:t>
      </w:r>
      <w:r>
        <w:rPr>
          <w:rFonts w:hint="eastAsia" w:ascii="宋体" w:hAnsi="宋体"/>
          <w:sz w:val="21"/>
          <w:szCs w:val="21"/>
        </w:rPr>
        <w:t>三</w:t>
      </w:r>
      <w:r>
        <w:rPr>
          <w:rFonts w:ascii="宋体" w:hAnsi="宋体"/>
          <w:sz w:val="21"/>
          <w:szCs w:val="21"/>
        </w:rPr>
        <w:t>)</w:t>
      </w:r>
      <w:r>
        <w:rPr>
          <w:rFonts w:hint="eastAsia" w:ascii="宋体" w:hAnsi="宋体"/>
          <w:sz w:val="21"/>
          <w:szCs w:val="21"/>
        </w:rPr>
        <w:t>乙方不得以任何理由安排甲方工作人员参加超标准宴请及娱乐活动。</w:t>
      </w:r>
      <w:bookmarkEnd w:id="66"/>
    </w:p>
    <w:p>
      <w:pPr>
        <w:tabs>
          <w:tab w:val="left" w:pos="1260"/>
        </w:tabs>
        <w:spacing w:line="324" w:lineRule="auto"/>
        <w:ind w:firstLine="540"/>
        <w:rPr>
          <w:rFonts w:hint="eastAsia" w:ascii="宋体" w:hAnsi="宋体"/>
          <w:sz w:val="21"/>
          <w:szCs w:val="21"/>
        </w:rPr>
      </w:pPr>
      <w:bookmarkStart w:id="67" w:name="_Toc298416129"/>
      <w:r>
        <w:rPr>
          <w:rFonts w:ascii="宋体" w:hAnsi="宋体"/>
          <w:sz w:val="21"/>
          <w:szCs w:val="21"/>
        </w:rPr>
        <w:t>(</w:t>
      </w:r>
      <w:r>
        <w:rPr>
          <w:rFonts w:hint="eastAsia" w:ascii="宋体" w:hAnsi="宋体"/>
          <w:sz w:val="21"/>
          <w:szCs w:val="21"/>
        </w:rPr>
        <w:t>四</w:t>
      </w:r>
      <w:r>
        <w:rPr>
          <w:rFonts w:ascii="宋体" w:hAnsi="宋体"/>
          <w:sz w:val="21"/>
          <w:szCs w:val="21"/>
        </w:rPr>
        <w:t>)</w:t>
      </w:r>
      <w:r>
        <w:rPr>
          <w:rFonts w:hint="eastAsia" w:ascii="宋体" w:hAnsi="宋体"/>
          <w:sz w:val="21"/>
          <w:szCs w:val="21"/>
        </w:rPr>
        <w:t>乙方不得为甲方单位和个人购置或提供通讯工具、交通工具和高档办公用品等。</w:t>
      </w:r>
      <w:bookmarkEnd w:id="67"/>
    </w:p>
    <w:p>
      <w:pPr>
        <w:numPr>
          <w:ilvl w:val="0"/>
          <w:numId w:val="2"/>
        </w:numPr>
        <w:tabs>
          <w:tab w:val="left" w:pos="1260"/>
        </w:tabs>
        <w:spacing w:line="324" w:lineRule="auto"/>
        <w:rPr>
          <w:rFonts w:hint="eastAsia" w:ascii="宋体" w:hAnsi="宋体"/>
          <w:sz w:val="21"/>
          <w:szCs w:val="21"/>
        </w:rPr>
      </w:pPr>
      <w:r>
        <w:rPr>
          <w:rFonts w:hint="eastAsia" w:ascii="宋体" w:hAnsi="宋体"/>
          <w:sz w:val="21"/>
          <w:szCs w:val="21"/>
        </w:rPr>
        <w:t xml:space="preserve">  </w:t>
      </w:r>
      <w:bookmarkStart w:id="68" w:name="_Toc298416130"/>
      <w:r>
        <w:rPr>
          <w:rFonts w:hint="eastAsia" w:ascii="宋体" w:hAnsi="宋体"/>
          <w:sz w:val="21"/>
          <w:szCs w:val="21"/>
        </w:rPr>
        <w:t>违约责任</w:t>
      </w:r>
      <w:bookmarkEnd w:id="68"/>
    </w:p>
    <w:p>
      <w:pPr>
        <w:tabs>
          <w:tab w:val="left" w:pos="1260"/>
        </w:tabs>
        <w:spacing w:line="324" w:lineRule="auto"/>
        <w:ind w:firstLine="540"/>
        <w:rPr>
          <w:rFonts w:hint="eastAsia" w:ascii="宋体" w:hAnsi="宋体"/>
          <w:sz w:val="21"/>
          <w:szCs w:val="21"/>
        </w:rPr>
      </w:pPr>
      <w:bookmarkStart w:id="69" w:name="_Toc298416131"/>
      <w:r>
        <w:rPr>
          <w:rFonts w:ascii="宋体" w:hAnsi="宋体"/>
          <w:sz w:val="21"/>
          <w:szCs w:val="21"/>
        </w:rPr>
        <w:t>(</w:t>
      </w:r>
      <w:r>
        <w:rPr>
          <w:rFonts w:hint="eastAsia" w:ascii="宋体" w:hAnsi="宋体"/>
          <w:sz w:val="21"/>
          <w:szCs w:val="21"/>
        </w:rPr>
        <w:t>一</w:t>
      </w:r>
      <w:r>
        <w:rPr>
          <w:rFonts w:ascii="宋体" w:hAnsi="宋体"/>
          <w:sz w:val="21"/>
          <w:szCs w:val="21"/>
        </w:rPr>
        <w:t>)</w:t>
      </w:r>
      <w:r>
        <w:rPr>
          <w:rFonts w:hint="eastAsia" w:ascii="宋体" w:hAnsi="宋体"/>
          <w:sz w:val="21"/>
          <w:szCs w:val="21"/>
        </w:rPr>
        <w:t>甲方及其工作人员违反本合同第一、二条，按管理权限，依据有关规定给予党纪、政纪或组织处理；涉嫌犯罪的，移交司法机关追究刑事责任；给乙方单位造成经济损失的，应予以赔偿。</w:t>
      </w:r>
      <w:bookmarkEnd w:id="69"/>
    </w:p>
    <w:p>
      <w:pPr>
        <w:tabs>
          <w:tab w:val="left" w:pos="1260"/>
        </w:tabs>
        <w:spacing w:line="324" w:lineRule="auto"/>
        <w:ind w:firstLine="480"/>
        <w:rPr>
          <w:rFonts w:hint="eastAsia" w:ascii="宋体" w:hAnsi="宋体"/>
          <w:sz w:val="21"/>
          <w:szCs w:val="21"/>
        </w:rPr>
      </w:pPr>
      <w:bookmarkStart w:id="70" w:name="_Toc298416132"/>
      <w:r>
        <w:rPr>
          <w:rFonts w:ascii="宋体" w:hAnsi="宋体"/>
          <w:sz w:val="21"/>
          <w:szCs w:val="21"/>
        </w:rPr>
        <w:t>(</w:t>
      </w:r>
      <w:r>
        <w:rPr>
          <w:rFonts w:hint="eastAsia" w:ascii="宋体" w:hAnsi="宋体"/>
          <w:sz w:val="21"/>
          <w:szCs w:val="21"/>
        </w:rPr>
        <w:t>二</w:t>
      </w:r>
      <w:r>
        <w:rPr>
          <w:rFonts w:ascii="宋体" w:hAnsi="宋体"/>
          <w:sz w:val="21"/>
          <w:szCs w:val="21"/>
        </w:rPr>
        <w:t>)</w:t>
      </w:r>
      <w:r>
        <w:rPr>
          <w:rFonts w:hint="eastAsia" w:ascii="宋体" w:hAnsi="宋体"/>
          <w:sz w:val="21"/>
          <w:szCs w:val="21"/>
        </w:rPr>
        <w:t>乙方及其工作人员违反本合同第一、三条，按管理权限，依据有关规定给予党纪、政纪或组织处理；给甲方单位造成经济损失的，应予以赔偿；情节严重的，甲方建议工程建设主管部门给予乙方一至三年内不得进入其主管的交通工程建设市场的处罚。</w:t>
      </w:r>
      <w:bookmarkEnd w:id="70"/>
    </w:p>
    <w:p>
      <w:pPr>
        <w:tabs>
          <w:tab w:val="left" w:pos="1260"/>
        </w:tabs>
        <w:spacing w:line="324" w:lineRule="auto"/>
        <w:ind w:firstLine="480"/>
        <w:rPr>
          <w:rFonts w:hint="eastAsia" w:ascii="宋体" w:hAnsi="宋体"/>
          <w:sz w:val="21"/>
          <w:szCs w:val="21"/>
        </w:rPr>
      </w:pPr>
      <w:bookmarkStart w:id="71" w:name="_Toc298416133"/>
      <w:r>
        <w:rPr>
          <w:rFonts w:hint="eastAsia" w:ascii="宋体" w:hAnsi="宋体"/>
          <w:sz w:val="21"/>
          <w:szCs w:val="21"/>
        </w:rPr>
        <w:t>第五条  双方约定：本合同由</w:t>
      </w:r>
      <w:r>
        <w:rPr>
          <w:rFonts w:hint="eastAsia" w:ascii="宋体" w:hAnsi="宋体"/>
          <w:sz w:val="21"/>
          <w:szCs w:val="21"/>
          <w:u w:val="single"/>
        </w:rPr>
        <w:t xml:space="preserve">            </w:t>
      </w:r>
      <w:r>
        <w:rPr>
          <w:rFonts w:hint="eastAsia" w:ascii="宋体" w:hAnsi="宋体"/>
          <w:sz w:val="21"/>
          <w:szCs w:val="21"/>
        </w:rPr>
        <w:t>负责监督，对本合同履行情况进行检查，提出在本合同规定范围内的裁定意见。</w:t>
      </w:r>
      <w:bookmarkEnd w:id="71"/>
    </w:p>
    <w:p>
      <w:pPr>
        <w:tabs>
          <w:tab w:val="left" w:pos="1260"/>
        </w:tabs>
        <w:spacing w:line="324" w:lineRule="auto"/>
        <w:ind w:firstLine="480"/>
        <w:rPr>
          <w:rFonts w:hint="eastAsia" w:ascii="宋体" w:hAnsi="宋体"/>
          <w:sz w:val="21"/>
          <w:szCs w:val="21"/>
        </w:rPr>
      </w:pPr>
      <w:bookmarkStart w:id="72" w:name="_Toc298416134"/>
      <w:r>
        <w:rPr>
          <w:rFonts w:hint="eastAsia" w:ascii="宋体" w:hAnsi="宋体"/>
          <w:sz w:val="21"/>
          <w:szCs w:val="21"/>
        </w:rPr>
        <w:t>第六条  本合同有效期为甲乙双方签署之日起至该项目主合同履行完毕止。</w:t>
      </w:r>
      <w:bookmarkEnd w:id="72"/>
    </w:p>
    <w:p>
      <w:pPr>
        <w:tabs>
          <w:tab w:val="left" w:pos="1260"/>
        </w:tabs>
        <w:spacing w:line="324" w:lineRule="auto"/>
        <w:ind w:firstLine="480"/>
        <w:rPr>
          <w:rFonts w:hint="eastAsia" w:ascii="宋体" w:hAnsi="宋体"/>
          <w:sz w:val="21"/>
          <w:szCs w:val="21"/>
        </w:rPr>
      </w:pPr>
      <w:bookmarkStart w:id="73" w:name="_Toc298416135"/>
      <w:r>
        <w:rPr>
          <w:rFonts w:hint="eastAsia" w:ascii="宋体" w:hAnsi="宋体"/>
          <w:sz w:val="21"/>
          <w:szCs w:val="21"/>
        </w:rPr>
        <w:t>第七条  本合同作为</w:t>
      </w:r>
      <w:r>
        <w:rPr>
          <w:rFonts w:hint="eastAsia" w:ascii="宋体" w:hAnsi="宋体"/>
          <w:sz w:val="21"/>
          <w:szCs w:val="21"/>
          <w:lang w:eastAsia="zh-CN"/>
        </w:rPr>
        <w:t>南通港通海港区至通州湾港区铁路专用线一期工程项目特许经营咨询服务</w:t>
      </w:r>
      <w:r>
        <w:rPr>
          <w:rFonts w:hint="eastAsia" w:ascii="宋体" w:hAnsi="宋体"/>
          <w:sz w:val="21"/>
          <w:szCs w:val="21"/>
        </w:rPr>
        <w:t>合同附件，与合同具有同等的法律效力，经合同双方签署后立即生效。</w:t>
      </w:r>
      <w:bookmarkEnd w:id="73"/>
    </w:p>
    <w:p>
      <w:pPr>
        <w:tabs>
          <w:tab w:val="left" w:pos="1260"/>
        </w:tabs>
        <w:spacing w:line="324" w:lineRule="auto"/>
        <w:ind w:firstLine="480"/>
        <w:rPr>
          <w:rFonts w:hint="eastAsia" w:ascii="宋体" w:hAnsi="宋体"/>
          <w:sz w:val="21"/>
          <w:szCs w:val="21"/>
        </w:rPr>
      </w:pPr>
      <w:bookmarkStart w:id="74" w:name="_Toc298416136"/>
      <w:r>
        <w:rPr>
          <w:rFonts w:hint="eastAsia" w:ascii="宋体" w:hAnsi="宋体"/>
          <w:sz w:val="21"/>
          <w:szCs w:val="21"/>
        </w:rPr>
        <w:t>第八条  本合同正本两份，甲、乙方各执一份，副本八份，甲、乙方各四份分送有关部门。</w:t>
      </w:r>
      <w:bookmarkEnd w:id="74"/>
    </w:p>
    <w:p>
      <w:pPr>
        <w:tabs>
          <w:tab w:val="left" w:pos="1260"/>
        </w:tabs>
        <w:spacing w:line="324" w:lineRule="auto"/>
        <w:rPr>
          <w:rFonts w:hint="eastAsia" w:ascii="宋体" w:hAnsi="宋体"/>
          <w:sz w:val="21"/>
          <w:szCs w:val="21"/>
        </w:rPr>
      </w:pPr>
    </w:p>
    <w:p>
      <w:pPr>
        <w:tabs>
          <w:tab w:val="left" w:pos="1260"/>
        </w:tabs>
        <w:spacing w:line="324" w:lineRule="auto"/>
        <w:ind w:firstLine="480"/>
        <w:rPr>
          <w:rFonts w:hint="eastAsia" w:ascii="宋体" w:hAnsi="宋体" w:eastAsia="宋体"/>
          <w:sz w:val="21"/>
          <w:szCs w:val="21"/>
          <w:lang w:val="en-US" w:eastAsia="zh-CN"/>
        </w:rPr>
      </w:pPr>
      <w:r>
        <w:rPr>
          <w:rFonts w:hint="eastAsia" w:ascii="宋体" w:hAnsi="宋体"/>
          <w:sz w:val="21"/>
          <w:szCs w:val="21"/>
          <w:lang w:val="en-US" w:eastAsia="zh-CN"/>
        </w:rPr>
        <w:t xml:space="preserve"> </w:t>
      </w:r>
    </w:p>
    <w:p>
      <w:pPr>
        <w:tabs>
          <w:tab w:val="left" w:pos="1260"/>
        </w:tabs>
        <w:spacing w:line="324" w:lineRule="auto"/>
        <w:ind w:firstLine="840" w:firstLineChars="400"/>
        <w:rPr>
          <w:rFonts w:hint="eastAsia" w:ascii="宋体" w:hAnsi="宋体"/>
          <w:sz w:val="21"/>
          <w:szCs w:val="21"/>
        </w:rPr>
      </w:pPr>
      <w:bookmarkStart w:id="75" w:name="_Toc298416143"/>
      <w:r>
        <w:rPr>
          <w:rFonts w:hint="eastAsia" w:ascii="宋体" w:hAnsi="宋体"/>
          <w:sz w:val="21"/>
          <w:szCs w:val="21"/>
        </w:rPr>
        <w:t>甲方单位（章）：                    乙方单位（章）：</w:t>
      </w:r>
    </w:p>
    <w:p>
      <w:pPr>
        <w:tabs>
          <w:tab w:val="left" w:pos="1260"/>
        </w:tabs>
        <w:spacing w:line="324" w:lineRule="auto"/>
        <w:ind w:firstLine="840" w:firstLineChars="400"/>
        <w:rPr>
          <w:rFonts w:hint="eastAsia" w:ascii="宋体" w:hAnsi="宋体"/>
          <w:sz w:val="21"/>
          <w:szCs w:val="21"/>
        </w:rPr>
      </w:pPr>
      <w:r>
        <w:rPr>
          <w:rFonts w:hint="eastAsia" w:ascii="宋体" w:hAnsi="宋体"/>
          <w:sz w:val="21"/>
          <w:szCs w:val="21"/>
        </w:rPr>
        <w:t>甲方代表：                          乙方代表：</w:t>
      </w:r>
    </w:p>
    <w:p>
      <w:pPr>
        <w:tabs>
          <w:tab w:val="left" w:pos="1260"/>
        </w:tabs>
        <w:spacing w:line="324" w:lineRule="auto"/>
        <w:rPr>
          <w:rFonts w:ascii="宋体" w:hAnsi="宋体"/>
          <w:sz w:val="21"/>
          <w:szCs w:val="21"/>
        </w:rPr>
      </w:pPr>
      <w:r>
        <w:rPr>
          <w:rFonts w:ascii="宋体" w:hAnsi="宋体"/>
          <w:sz w:val="21"/>
          <w:szCs w:val="21"/>
        </w:rPr>
        <w:t xml:space="preserve">                               </w:t>
      </w:r>
    </w:p>
    <w:p>
      <w:pPr>
        <w:tabs>
          <w:tab w:val="left" w:pos="1260"/>
        </w:tabs>
        <w:spacing w:line="324" w:lineRule="auto"/>
        <w:ind w:firstLine="840" w:firstLineChars="400"/>
        <w:rPr>
          <w:rFonts w:hint="eastAsia" w:ascii="宋体" w:hAnsi="宋体"/>
          <w:sz w:val="21"/>
          <w:szCs w:val="21"/>
        </w:rPr>
      </w:pPr>
      <w:r>
        <w:rPr>
          <w:rFonts w:hint="eastAsia" w:ascii="宋体" w:hAnsi="宋体"/>
          <w:sz w:val="21"/>
          <w:szCs w:val="21"/>
        </w:rPr>
        <w:t>帐  号：                            帐  号：</w:t>
      </w:r>
    </w:p>
    <w:p>
      <w:pPr>
        <w:tabs>
          <w:tab w:val="left" w:pos="1260"/>
        </w:tabs>
        <w:spacing w:line="324" w:lineRule="auto"/>
        <w:ind w:firstLine="840" w:firstLineChars="400"/>
        <w:rPr>
          <w:rFonts w:hint="eastAsia" w:ascii="宋体" w:hAnsi="宋体"/>
          <w:sz w:val="21"/>
          <w:szCs w:val="21"/>
        </w:rPr>
      </w:pPr>
      <w:r>
        <w:rPr>
          <w:rFonts w:hint="eastAsia" w:ascii="宋体" w:hAnsi="宋体"/>
          <w:sz w:val="21"/>
          <w:szCs w:val="21"/>
        </w:rPr>
        <w:t>开户行：                            开户行：</w:t>
      </w:r>
    </w:p>
    <w:p>
      <w:pPr>
        <w:tabs>
          <w:tab w:val="left" w:pos="1260"/>
        </w:tabs>
        <w:spacing w:line="324" w:lineRule="auto"/>
        <w:ind w:firstLine="840" w:firstLineChars="400"/>
        <w:rPr>
          <w:rFonts w:hint="eastAsia" w:ascii="宋体" w:hAnsi="宋体"/>
          <w:sz w:val="21"/>
          <w:szCs w:val="21"/>
        </w:rPr>
      </w:pPr>
      <w:r>
        <w:rPr>
          <w:rFonts w:hint="eastAsia" w:ascii="宋体" w:hAnsi="宋体"/>
          <w:sz w:val="21"/>
          <w:szCs w:val="21"/>
        </w:rPr>
        <w:t>联系人：                            联系人：</w:t>
      </w:r>
    </w:p>
    <w:p>
      <w:pPr>
        <w:tabs>
          <w:tab w:val="left" w:pos="1260"/>
        </w:tabs>
        <w:spacing w:line="324" w:lineRule="auto"/>
        <w:ind w:firstLine="840" w:firstLineChars="400"/>
        <w:rPr>
          <w:rFonts w:hint="eastAsia" w:ascii="宋体" w:hAnsi="宋体"/>
          <w:sz w:val="21"/>
          <w:szCs w:val="21"/>
        </w:rPr>
      </w:pPr>
      <w:r>
        <w:rPr>
          <w:rFonts w:hint="eastAsia" w:ascii="宋体" w:hAnsi="宋体"/>
          <w:sz w:val="21"/>
          <w:szCs w:val="21"/>
        </w:rPr>
        <w:t>电话：                              电话：</w:t>
      </w:r>
    </w:p>
    <w:p>
      <w:pPr>
        <w:tabs>
          <w:tab w:val="left" w:pos="1260"/>
        </w:tabs>
        <w:spacing w:line="324" w:lineRule="auto"/>
        <w:ind w:firstLine="840" w:firstLineChars="400"/>
        <w:rPr>
          <w:rFonts w:hint="eastAsia" w:ascii="宋体" w:hAnsi="宋体"/>
          <w:sz w:val="21"/>
          <w:szCs w:val="21"/>
        </w:rPr>
      </w:pPr>
      <w:r>
        <w:rPr>
          <w:rFonts w:hint="eastAsia" w:ascii="宋体" w:hAnsi="宋体"/>
          <w:sz w:val="21"/>
          <w:szCs w:val="21"/>
        </w:rPr>
        <w:t>通讯地址：                          通讯地址：</w:t>
      </w:r>
    </w:p>
    <w:p>
      <w:pPr>
        <w:tabs>
          <w:tab w:val="left" w:pos="1260"/>
        </w:tabs>
        <w:spacing w:line="324" w:lineRule="auto"/>
        <w:ind w:firstLine="840" w:firstLineChars="400"/>
        <w:rPr>
          <w:rFonts w:hint="eastAsia" w:ascii="宋体" w:hAnsi="宋体"/>
          <w:sz w:val="21"/>
          <w:szCs w:val="21"/>
        </w:rPr>
      </w:pPr>
      <w:r>
        <w:rPr>
          <w:rFonts w:hint="eastAsia" w:ascii="宋体" w:hAnsi="宋体"/>
          <w:sz w:val="21"/>
          <w:szCs w:val="21"/>
        </w:rPr>
        <w:t>邮政编码：                          邮政编码：</w:t>
      </w:r>
    </w:p>
    <w:p>
      <w:pPr>
        <w:tabs>
          <w:tab w:val="left" w:pos="1260"/>
        </w:tabs>
        <w:spacing w:line="324" w:lineRule="auto"/>
        <w:ind w:firstLine="840" w:firstLineChars="400"/>
        <w:rPr>
          <w:rFonts w:hint="eastAsia" w:ascii="宋体" w:hAnsi="宋体"/>
          <w:sz w:val="21"/>
          <w:szCs w:val="21"/>
          <w:u w:val="single"/>
        </w:rPr>
      </w:pPr>
      <w:r>
        <w:rPr>
          <w:rFonts w:hint="eastAsia" w:ascii="宋体" w:hAnsi="宋体"/>
          <w:sz w:val="21"/>
          <w:szCs w:val="21"/>
        </w:rPr>
        <w:t>甲方监督单位：</w:t>
      </w:r>
      <w:r>
        <w:rPr>
          <w:rFonts w:hint="eastAsia" w:ascii="宋体" w:hAnsi="宋体"/>
          <w:sz w:val="21"/>
          <w:szCs w:val="21"/>
          <w:u w:val="single"/>
        </w:rPr>
        <w:t xml:space="preserve"> （全称） （盖章）</w:t>
      </w:r>
      <w:r>
        <w:rPr>
          <w:rFonts w:hint="eastAsia" w:ascii="宋体" w:hAnsi="宋体"/>
          <w:sz w:val="21"/>
          <w:szCs w:val="21"/>
        </w:rPr>
        <w:t xml:space="preserve">    乙方监督单位：</w:t>
      </w:r>
      <w:r>
        <w:rPr>
          <w:rFonts w:hint="eastAsia" w:ascii="宋体" w:hAnsi="宋体"/>
          <w:sz w:val="21"/>
          <w:szCs w:val="21"/>
          <w:u w:val="single"/>
        </w:rPr>
        <w:t xml:space="preserve"> （全称） （盖章）</w:t>
      </w:r>
      <w:bookmarkEnd w:id="75"/>
    </w:p>
    <w:p>
      <w:pPr>
        <w:spacing w:line="360" w:lineRule="exact"/>
        <w:jc w:val="both"/>
        <w:rPr>
          <w:rFonts w:hint="eastAsia" w:eastAsia="宋体"/>
          <w:b/>
          <w:bCs/>
          <w:sz w:val="21"/>
          <w:szCs w:val="21"/>
          <w:lang w:eastAsia="zh-CN"/>
        </w:rPr>
      </w:pPr>
      <w:r>
        <w:rPr>
          <w:rFonts w:ascii="宋体" w:hAnsi="宋体"/>
          <w:b/>
          <w:bCs/>
          <w:sz w:val="21"/>
          <w:szCs w:val="21"/>
        </w:rPr>
        <w:br w:type="page"/>
      </w:r>
      <w:r>
        <w:rPr>
          <w:rFonts w:hint="eastAsia" w:ascii="宋体" w:hAnsi="宋体"/>
          <w:b/>
          <w:bCs/>
          <w:sz w:val="21"/>
          <w:szCs w:val="21"/>
          <w:lang w:eastAsia="zh-CN"/>
        </w:rPr>
        <w:t>附件</w:t>
      </w:r>
      <w:r>
        <w:rPr>
          <w:rFonts w:hint="eastAsia" w:ascii="宋体" w:hAnsi="宋体"/>
          <w:b/>
          <w:bCs/>
          <w:sz w:val="21"/>
          <w:szCs w:val="21"/>
          <w:lang w:val="en-US" w:eastAsia="zh-CN"/>
        </w:rPr>
        <w:t>2：</w:t>
      </w:r>
      <w:r>
        <w:rPr>
          <w:rFonts w:hint="eastAsia"/>
          <w:b/>
          <w:bCs/>
          <w:sz w:val="21"/>
          <w:szCs w:val="21"/>
        </w:rPr>
        <w:t>响应</w:t>
      </w:r>
      <w:r>
        <w:rPr>
          <w:rFonts w:hint="eastAsia"/>
          <w:b/>
          <w:bCs/>
          <w:sz w:val="21"/>
          <w:szCs w:val="21"/>
          <w:lang w:eastAsia="zh-CN"/>
        </w:rPr>
        <w:t>文件</w:t>
      </w:r>
    </w:p>
    <w:p>
      <w:pPr>
        <w:spacing w:line="360" w:lineRule="auto"/>
        <w:jc w:val="both"/>
        <w:outlineLvl w:val="0"/>
        <w:rPr>
          <w:rFonts w:hint="default" w:ascii="宋体" w:hAnsi="宋体" w:eastAsia="宋体"/>
          <w:b/>
          <w:bCs/>
          <w:sz w:val="21"/>
          <w:szCs w:val="21"/>
          <w:lang w:val="en-US" w:eastAsia="zh-CN"/>
        </w:rPr>
      </w:pPr>
    </w:p>
    <w:p>
      <w:pPr>
        <w:spacing w:line="360" w:lineRule="exact"/>
        <w:jc w:val="center"/>
        <w:rPr>
          <w:b/>
          <w:bCs/>
          <w:sz w:val="21"/>
          <w:szCs w:val="21"/>
        </w:rPr>
      </w:pPr>
    </w:p>
    <w:p>
      <w:pPr>
        <w:spacing w:line="360" w:lineRule="exact"/>
        <w:jc w:val="center"/>
        <w:rPr>
          <w:rFonts w:hint="eastAsia" w:eastAsia="宋体"/>
          <w:b/>
          <w:bCs/>
          <w:sz w:val="21"/>
          <w:szCs w:val="21"/>
          <w:lang w:eastAsia="zh-CN"/>
        </w:rPr>
      </w:pPr>
      <w:r>
        <w:rPr>
          <w:rFonts w:hint="eastAsia"/>
          <w:b/>
          <w:bCs/>
          <w:sz w:val="21"/>
          <w:szCs w:val="21"/>
        </w:rPr>
        <w:t>响应</w:t>
      </w:r>
      <w:r>
        <w:rPr>
          <w:rFonts w:hint="eastAsia"/>
          <w:b/>
          <w:bCs/>
          <w:sz w:val="21"/>
          <w:szCs w:val="21"/>
          <w:lang w:eastAsia="zh-CN"/>
        </w:rPr>
        <w:t>文件</w:t>
      </w:r>
    </w:p>
    <w:p>
      <w:pPr>
        <w:spacing w:line="360" w:lineRule="exact"/>
        <w:jc w:val="center"/>
        <w:rPr>
          <w:b/>
          <w:bCs/>
          <w:sz w:val="21"/>
          <w:szCs w:val="21"/>
        </w:rPr>
      </w:pPr>
    </w:p>
    <w:p>
      <w:pPr>
        <w:pStyle w:val="17"/>
        <w:spacing w:line="360" w:lineRule="exact"/>
        <w:rPr>
          <w:rFonts w:hAnsi="宋体"/>
          <w:szCs w:val="24"/>
          <w:u w:val="single"/>
        </w:rPr>
      </w:pPr>
      <w:r>
        <w:rPr>
          <w:rFonts w:hint="eastAsia" w:hAnsi="宋体"/>
          <w:szCs w:val="24"/>
          <w:u w:val="single"/>
        </w:rPr>
        <w:t xml:space="preserve"> 南通港集团建设投资</w:t>
      </w:r>
      <w:r>
        <w:rPr>
          <w:rFonts w:hAnsi="宋体"/>
          <w:szCs w:val="24"/>
          <w:u w:val="single"/>
        </w:rPr>
        <w:t>有限公司</w:t>
      </w:r>
      <w:r>
        <w:rPr>
          <w:rFonts w:hint="eastAsia" w:hAnsi="宋体"/>
          <w:szCs w:val="24"/>
          <w:u w:val="single"/>
        </w:rPr>
        <w:t xml:space="preserve"> ：</w:t>
      </w:r>
    </w:p>
    <w:p>
      <w:pPr>
        <w:spacing w:line="360" w:lineRule="auto"/>
        <w:ind w:firstLine="441" w:firstLineChars="210"/>
        <w:jc w:val="left"/>
        <w:rPr>
          <w:rFonts w:hint="eastAsia" w:ascii="宋体" w:hAnsi="宋体" w:eastAsia="宋体" w:cs="Times New Roman"/>
          <w:kern w:val="2"/>
          <w:sz w:val="21"/>
          <w:szCs w:val="24"/>
          <w:u w:val="none"/>
          <w:lang w:val="en-US" w:eastAsia="zh-CN" w:bidi="ar-SA"/>
        </w:rPr>
      </w:pPr>
    </w:p>
    <w:p>
      <w:pPr>
        <w:spacing w:line="360" w:lineRule="auto"/>
        <w:ind w:firstLine="441" w:firstLineChars="210"/>
        <w:jc w:val="left"/>
        <w:rPr>
          <w:rFonts w:hint="eastAsia" w:ascii="宋体" w:hAnsi="宋体" w:eastAsia="宋体" w:cs="Times New Roman"/>
          <w:kern w:val="2"/>
          <w:sz w:val="21"/>
          <w:szCs w:val="24"/>
          <w:u w:val="single"/>
          <w:lang w:val="en-US" w:eastAsia="zh-CN" w:bidi="ar-SA"/>
        </w:rPr>
      </w:pPr>
      <w:r>
        <w:rPr>
          <w:rFonts w:hint="eastAsia" w:ascii="宋体" w:hAnsi="宋体" w:eastAsia="宋体" w:cs="Times New Roman"/>
          <w:kern w:val="2"/>
          <w:sz w:val="21"/>
          <w:szCs w:val="24"/>
          <w:u w:val="none"/>
          <w:lang w:val="en-US" w:eastAsia="zh-CN" w:bidi="ar-SA"/>
        </w:rPr>
        <w:t>1</w:t>
      </w:r>
      <w:r>
        <w:rPr>
          <w:rFonts w:hint="eastAsia" w:ascii="宋体" w:hAnsi="宋体" w:cs="Times New Roman"/>
          <w:kern w:val="2"/>
          <w:sz w:val="21"/>
          <w:szCs w:val="24"/>
          <w:u w:val="none"/>
          <w:lang w:val="en-US" w:eastAsia="zh-CN" w:bidi="ar-SA"/>
        </w:rPr>
        <w:t>.</w:t>
      </w:r>
      <w:r>
        <w:rPr>
          <w:rFonts w:hint="eastAsia" w:ascii="宋体" w:hAnsi="宋体" w:eastAsia="宋体" w:cs="Times New Roman"/>
          <w:kern w:val="2"/>
          <w:sz w:val="21"/>
          <w:szCs w:val="24"/>
          <w:u w:val="none"/>
          <w:lang w:val="en-US" w:eastAsia="zh-CN" w:bidi="ar-SA"/>
        </w:rPr>
        <w:t>经现场踏勘和研究</w:t>
      </w:r>
      <w:r>
        <w:rPr>
          <w:rFonts w:hint="eastAsia" w:ascii="宋体" w:hAnsi="宋体" w:cs="Times New Roman"/>
          <w:kern w:val="2"/>
          <w:sz w:val="21"/>
          <w:szCs w:val="24"/>
          <w:u w:val="single"/>
          <w:lang w:val="en-US" w:eastAsia="zh-CN" w:bidi="ar-SA"/>
        </w:rPr>
        <w:t>南通港通海港区至通州湾港区铁路专用线一期</w:t>
      </w:r>
      <w:r>
        <w:rPr>
          <w:rFonts w:hint="eastAsia" w:ascii="宋体" w:hAnsi="宋体" w:eastAsia="宋体" w:cs="Times New Roman"/>
          <w:kern w:val="2"/>
          <w:sz w:val="21"/>
          <w:szCs w:val="24"/>
          <w:u w:val="single"/>
          <w:lang w:val="en-US" w:eastAsia="zh-CN" w:bidi="ar-SA"/>
        </w:rPr>
        <w:t>工程项目特许经营咨询</w:t>
      </w:r>
      <w:r>
        <w:rPr>
          <w:rFonts w:hint="eastAsia" w:ascii="宋体" w:hAnsi="宋体" w:cs="Times New Roman"/>
          <w:kern w:val="2"/>
          <w:sz w:val="21"/>
          <w:szCs w:val="24"/>
          <w:u w:val="single"/>
          <w:lang w:val="en-US" w:eastAsia="zh-CN" w:bidi="ar-SA"/>
        </w:rPr>
        <w:t>竞争性谈判文件</w:t>
      </w:r>
      <w:r>
        <w:rPr>
          <w:rFonts w:hint="eastAsia" w:ascii="宋体" w:hAnsi="宋体" w:eastAsia="宋体" w:cs="Times New Roman"/>
          <w:kern w:val="2"/>
          <w:sz w:val="21"/>
          <w:szCs w:val="24"/>
          <w:u w:val="none"/>
          <w:lang w:val="en-US" w:eastAsia="zh-CN" w:bidi="ar-SA"/>
        </w:rPr>
        <w:t>的全部内容后，我方就上述任务及相关服务进行投标。根据分析计算，我方愿以投标总价人民币</w:t>
      </w:r>
      <w:r>
        <w:rPr>
          <w:rFonts w:hint="eastAsia" w:ascii="宋体" w:hAnsi="宋体" w:eastAsia="宋体" w:cs="Times New Roman"/>
          <w:kern w:val="2"/>
          <w:sz w:val="21"/>
          <w:szCs w:val="24"/>
          <w:u w:val="single"/>
          <w:lang w:val="en-US" w:eastAsia="zh-CN" w:bidi="ar-SA"/>
        </w:rPr>
        <w:t>（大写）           元（¥：      元），</w:t>
      </w:r>
      <w:r>
        <w:rPr>
          <w:rFonts w:hint="eastAsia" w:ascii="宋体" w:hAnsi="宋体" w:eastAsia="宋体" w:cs="Times New Roman"/>
          <w:kern w:val="2"/>
          <w:sz w:val="21"/>
          <w:szCs w:val="24"/>
          <w:u w:val="none"/>
          <w:lang w:val="en-US" w:eastAsia="zh-CN" w:bidi="ar-SA"/>
        </w:rPr>
        <w:t>完成本招标项目规定的所有工作内容。</w:t>
      </w:r>
    </w:p>
    <w:p>
      <w:pPr>
        <w:spacing w:line="360" w:lineRule="auto"/>
        <w:ind w:firstLine="420" w:firstLineChars="200"/>
        <w:rPr>
          <w:rFonts w:hint="eastAsia" w:ascii="宋体" w:hAnsi="宋体" w:eastAsia="宋体" w:cs="Times New Roman"/>
          <w:kern w:val="2"/>
          <w:sz w:val="21"/>
          <w:szCs w:val="24"/>
          <w:u w:val="none"/>
          <w:lang w:val="en-US" w:eastAsia="zh-CN" w:bidi="ar-SA"/>
        </w:rPr>
      </w:pPr>
      <w:r>
        <w:rPr>
          <w:rFonts w:hint="eastAsia" w:ascii="宋体" w:hAnsi="宋体" w:eastAsia="宋体" w:cs="Times New Roman"/>
          <w:kern w:val="2"/>
          <w:sz w:val="21"/>
          <w:szCs w:val="24"/>
          <w:u w:val="none"/>
          <w:lang w:val="en-US" w:eastAsia="zh-CN" w:bidi="ar-SA"/>
        </w:rPr>
        <w:t>2.一旦我方中标，我方保证在中标通知书规定的期限内与你方签订合同协议书，并在合同协议书所规定的期限内完成通知要求的工作任务。</w:t>
      </w:r>
    </w:p>
    <w:p>
      <w:pPr>
        <w:spacing w:line="360" w:lineRule="auto"/>
        <w:ind w:firstLine="420" w:firstLineChars="200"/>
        <w:rPr>
          <w:rFonts w:hint="eastAsia" w:ascii="宋体" w:hAnsi="宋体" w:eastAsia="宋体" w:cs="Times New Roman"/>
          <w:kern w:val="2"/>
          <w:sz w:val="21"/>
          <w:szCs w:val="24"/>
          <w:u w:val="single"/>
          <w:lang w:val="en-US" w:eastAsia="zh-CN" w:bidi="ar-SA"/>
        </w:rPr>
      </w:pPr>
      <w:r>
        <w:rPr>
          <w:rFonts w:hint="eastAsia" w:ascii="宋体" w:hAnsi="宋体" w:eastAsia="宋体" w:cs="Times New Roman"/>
          <w:kern w:val="2"/>
          <w:sz w:val="21"/>
          <w:szCs w:val="24"/>
          <w:u w:val="none"/>
          <w:lang w:val="en-US" w:eastAsia="zh-CN" w:bidi="ar-SA"/>
        </w:rPr>
        <w:t>3.项目负责人姓名</w:t>
      </w:r>
      <w:r>
        <w:rPr>
          <w:rFonts w:hint="eastAsia" w:ascii="宋体" w:hAnsi="宋体" w:eastAsia="宋体" w:cs="Times New Roman"/>
          <w:kern w:val="2"/>
          <w:sz w:val="21"/>
          <w:szCs w:val="24"/>
          <w:u w:val="single"/>
          <w:lang w:val="en-US" w:eastAsia="zh-CN" w:bidi="ar-SA"/>
        </w:rPr>
        <w:t xml:space="preserve">：   </w:t>
      </w:r>
      <w:r>
        <w:rPr>
          <w:rFonts w:hint="eastAsia" w:ascii="宋体" w:hAnsi="宋体" w:eastAsia="宋体" w:cs="Times New Roman"/>
          <w:kern w:val="2"/>
          <w:sz w:val="21"/>
          <w:szCs w:val="24"/>
          <w:u w:val="none"/>
          <w:lang w:val="en-US" w:eastAsia="zh-CN" w:bidi="ar-SA"/>
        </w:rPr>
        <w:t xml:space="preserve"> ，性别：</w:t>
      </w:r>
      <w:r>
        <w:rPr>
          <w:rFonts w:hint="eastAsia" w:ascii="宋体" w:hAnsi="宋体" w:eastAsia="宋体" w:cs="Times New Roman"/>
          <w:kern w:val="2"/>
          <w:sz w:val="21"/>
          <w:szCs w:val="24"/>
          <w:u w:val="single"/>
          <w:lang w:val="en-US" w:eastAsia="zh-CN" w:bidi="ar-SA"/>
        </w:rPr>
        <w:t xml:space="preserve">    </w:t>
      </w:r>
      <w:r>
        <w:rPr>
          <w:rFonts w:hint="eastAsia" w:ascii="宋体" w:hAnsi="宋体" w:eastAsia="宋体" w:cs="Times New Roman"/>
          <w:kern w:val="2"/>
          <w:sz w:val="21"/>
          <w:szCs w:val="24"/>
          <w:u w:val="none"/>
          <w:lang w:val="en-US" w:eastAsia="zh-CN" w:bidi="ar-SA"/>
        </w:rPr>
        <w:t>，年龄：</w:t>
      </w:r>
      <w:r>
        <w:rPr>
          <w:rFonts w:hint="eastAsia" w:ascii="宋体" w:hAnsi="宋体" w:eastAsia="宋体" w:cs="Times New Roman"/>
          <w:kern w:val="2"/>
          <w:sz w:val="21"/>
          <w:szCs w:val="24"/>
          <w:u w:val="single"/>
          <w:lang w:val="en-US" w:eastAsia="zh-CN" w:bidi="ar-SA"/>
        </w:rPr>
        <w:t xml:space="preserve">    </w:t>
      </w:r>
      <w:r>
        <w:rPr>
          <w:rFonts w:hint="eastAsia" w:ascii="宋体" w:hAnsi="宋体" w:eastAsia="宋体" w:cs="Times New Roman"/>
          <w:kern w:val="2"/>
          <w:sz w:val="21"/>
          <w:szCs w:val="24"/>
          <w:u w:val="none"/>
          <w:lang w:val="en-US" w:eastAsia="zh-CN" w:bidi="ar-SA"/>
        </w:rPr>
        <w:t>，职 称：</w:t>
      </w:r>
      <w:r>
        <w:rPr>
          <w:rFonts w:hint="eastAsia" w:ascii="宋体" w:hAnsi="宋体" w:eastAsia="宋体" w:cs="Times New Roman"/>
          <w:kern w:val="2"/>
          <w:sz w:val="21"/>
          <w:szCs w:val="24"/>
          <w:u w:val="single"/>
          <w:lang w:val="en-US" w:eastAsia="zh-CN" w:bidi="ar-SA"/>
        </w:rPr>
        <w:t xml:space="preserve">    。</w:t>
      </w:r>
    </w:p>
    <w:p>
      <w:pPr>
        <w:spacing w:line="360" w:lineRule="auto"/>
        <w:ind w:firstLine="420" w:firstLineChars="200"/>
        <w:rPr>
          <w:rFonts w:hint="eastAsia" w:ascii="宋体" w:hAnsi="宋体" w:eastAsia="宋体" w:cs="Times New Roman"/>
          <w:kern w:val="2"/>
          <w:sz w:val="21"/>
          <w:szCs w:val="24"/>
          <w:u w:val="none"/>
          <w:lang w:val="en-US" w:eastAsia="zh-CN" w:bidi="ar-SA"/>
        </w:rPr>
      </w:pPr>
      <w:r>
        <w:rPr>
          <w:rFonts w:hint="eastAsia" w:ascii="宋体" w:hAnsi="宋体" w:eastAsia="宋体" w:cs="Times New Roman"/>
          <w:kern w:val="2"/>
          <w:sz w:val="21"/>
          <w:szCs w:val="24"/>
          <w:u w:val="none"/>
          <w:lang w:val="en-US" w:eastAsia="zh-CN" w:bidi="ar-SA"/>
        </w:rPr>
        <w:t>4.如果我方中标，我方将按照规定提交履约担保，共同地和分别地承担责任。</w:t>
      </w:r>
    </w:p>
    <w:p>
      <w:pPr>
        <w:spacing w:line="360" w:lineRule="auto"/>
        <w:ind w:firstLine="420" w:firstLineChars="200"/>
        <w:rPr>
          <w:rFonts w:hint="eastAsia" w:ascii="宋体" w:hAnsi="宋体" w:eastAsia="宋体" w:cs="Times New Roman"/>
          <w:kern w:val="2"/>
          <w:sz w:val="21"/>
          <w:szCs w:val="24"/>
          <w:u w:val="single"/>
          <w:lang w:val="en-US" w:eastAsia="zh-CN" w:bidi="ar-SA"/>
        </w:rPr>
      </w:pPr>
      <w:r>
        <w:rPr>
          <w:rFonts w:hint="eastAsia" w:ascii="宋体" w:hAnsi="宋体" w:eastAsia="宋体" w:cs="Times New Roman"/>
          <w:kern w:val="2"/>
          <w:sz w:val="21"/>
          <w:szCs w:val="24"/>
          <w:u w:val="none"/>
          <w:lang w:val="en-US" w:eastAsia="zh-CN" w:bidi="ar-SA"/>
        </w:rPr>
        <w:t>5.我方承诺在本投标文件有效期内，本投标函对我方具有约束力，并随时接受中标。</w:t>
      </w:r>
    </w:p>
    <w:p>
      <w:pPr>
        <w:spacing w:line="360" w:lineRule="auto"/>
        <w:ind w:firstLine="441" w:firstLineChars="210"/>
        <w:jc w:val="left"/>
        <w:rPr>
          <w:rFonts w:hint="eastAsia" w:ascii="宋体" w:hAnsi="宋体" w:eastAsia="宋体" w:cs="Times New Roman"/>
          <w:kern w:val="2"/>
          <w:sz w:val="21"/>
          <w:szCs w:val="24"/>
          <w:u w:val="single"/>
          <w:lang w:val="en-US" w:eastAsia="zh-CN" w:bidi="ar-SA"/>
        </w:rPr>
      </w:pPr>
      <w:r>
        <w:rPr>
          <w:rFonts w:hint="eastAsia" w:ascii="宋体" w:hAnsi="宋体" w:eastAsia="宋体" w:cs="Times New Roman"/>
          <w:kern w:val="2"/>
          <w:sz w:val="21"/>
          <w:szCs w:val="24"/>
          <w:u w:val="none"/>
          <w:lang w:val="en-US" w:eastAsia="zh-CN" w:bidi="ar-SA"/>
        </w:rPr>
        <w:t>6.在合同协议书正式签署生效之前，本投标函连同你方的中标通知书将构成我们双方之间共同遵守的文件，对双方具有约束力。</w:t>
      </w:r>
    </w:p>
    <w:p>
      <w:pPr>
        <w:spacing w:line="360" w:lineRule="auto"/>
        <w:ind w:firstLine="441" w:firstLineChars="210"/>
        <w:jc w:val="left"/>
        <w:rPr>
          <w:rFonts w:hint="eastAsia" w:ascii="宋体" w:hAnsi="宋体" w:eastAsia="宋体" w:cs="Times New Roman"/>
          <w:kern w:val="2"/>
          <w:sz w:val="21"/>
          <w:szCs w:val="24"/>
          <w:u w:val="single"/>
          <w:lang w:val="en-US" w:eastAsia="zh-CN" w:bidi="ar-SA"/>
        </w:rPr>
      </w:pPr>
      <w:r>
        <w:rPr>
          <w:rFonts w:hint="eastAsia" w:ascii="宋体" w:hAnsi="宋体" w:eastAsia="宋体" w:cs="Times New Roman"/>
          <w:kern w:val="2"/>
          <w:sz w:val="21"/>
          <w:szCs w:val="24"/>
          <w:u w:val="none"/>
          <w:lang w:val="en-US" w:eastAsia="zh-CN" w:bidi="ar-SA"/>
        </w:rPr>
        <w:t>7</w:t>
      </w:r>
      <w:r>
        <w:rPr>
          <w:rFonts w:hint="eastAsia" w:ascii="宋体" w:hAnsi="宋体" w:cs="Times New Roman"/>
          <w:kern w:val="2"/>
          <w:sz w:val="21"/>
          <w:szCs w:val="24"/>
          <w:u w:val="none"/>
          <w:lang w:val="en-US" w:eastAsia="zh-CN" w:bidi="ar-SA"/>
        </w:rPr>
        <w:t>.</w:t>
      </w:r>
      <w:r>
        <w:rPr>
          <w:rFonts w:hint="eastAsia" w:ascii="宋体" w:hAnsi="宋体" w:eastAsia="宋体" w:cs="Times New Roman"/>
          <w:kern w:val="2"/>
          <w:sz w:val="21"/>
          <w:szCs w:val="24"/>
          <w:u w:val="none"/>
          <w:lang w:val="en-US" w:eastAsia="zh-CN" w:bidi="ar-SA"/>
        </w:rPr>
        <w:t>在此我方郑重承诺：我方将按发包人的要求提供高质量的后续服务，后续服务的承诺为</w:t>
      </w:r>
      <w:r>
        <w:rPr>
          <w:rFonts w:hint="eastAsia" w:ascii="宋体" w:hAnsi="宋体" w:eastAsia="宋体" w:cs="Times New Roman"/>
          <w:kern w:val="2"/>
          <w:sz w:val="21"/>
          <w:szCs w:val="24"/>
          <w:u w:val="single"/>
          <w:lang w:val="en-US" w:eastAsia="zh-CN" w:bidi="ar-SA"/>
        </w:rPr>
        <w:t xml:space="preserve">               。</w:t>
      </w:r>
    </w:p>
    <w:p>
      <w:pPr>
        <w:tabs>
          <w:tab w:val="left" w:pos="720"/>
          <w:tab w:val="left" w:pos="2100"/>
        </w:tabs>
        <w:spacing w:line="360" w:lineRule="auto"/>
        <w:rPr>
          <w:rFonts w:hint="eastAsia" w:ascii="宋体" w:hAnsi="宋体" w:eastAsia="宋体" w:cs="Times New Roman"/>
          <w:kern w:val="2"/>
          <w:sz w:val="21"/>
          <w:szCs w:val="24"/>
          <w:u w:val="single"/>
          <w:lang w:val="en-US" w:eastAsia="zh-CN" w:bidi="ar-SA"/>
        </w:rPr>
      </w:pPr>
    </w:p>
    <w:p>
      <w:pPr>
        <w:tabs>
          <w:tab w:val="left" w:pos="720"/>
          <w:tab w:val="left" w:pos="2100"/>
        </w:tabs>
        <w:spacing w:line="360" w:lineRule="auto"/>
        <w:rPr>
          <w:rFonts w:hint="eastAsia" w:ascii="宋体" w:hAnsi="宋体" w:eastAsia="宋体" w:cs="Times New Roman"/>
          <w:kern w:val="2"/>
          <w:sz w:val="21"/>
          <w:szCs w:val="24"/>
          <w:u w:val="single"/>
          <w:lang w:val="en-US" w:eastAsia="zh-CN" w:bidi="ar-SA"/>
        </w:rPr>
      </w:pPr>
    </w:p>
    <w:tbl>
      <w:tblPr>
        <w:tblStyle w:val="29"/>
        <w:tblW w:w="9120" w:type="dxa"/>
        <w:jc w:val="center"/>
        <w:tblInd w:w="0" w:type="dxa"/>
        <w:tblLayout w:type="fixed"/>
        <w:tblCellMar>
          <w:top w:w="0" w:type="dxa"/>
          <w:left w:w="108" w:type="dxa"/>
          <w:bottom w:w="0" w:type="dxa"/>
          <w:right w:w="108" w:type="dxa"/>
        </w:tblCellMar>
      </w:tblPr>
      <w:tblGrid>
        <w:gridCol w:w="4068"/>
        <w:gridCol w:w="5052"/>
      </w:tblGrid>
      <w:tr>
        <w:tblPrEx>
          <w:tblLayout w:type="fixed"/>
          <w:tblCellMar>
            <w:top w:w="0" w:type="dxa"/>
            <w:left w:w="108" w:type="dxa"/>
            <w:bottom w:w="0" w:type="dxa"/>
            <w:right w:w="108" w:type="dxa"/>
          </w:tblCellMar>
        </w:tblPrEx>
        <w:trPr>
          <w:trHeight w:val="510" w:hRule="exact"/>
          <w:jc w:val="center"/>
        </w:trPr>
        <w:tc>
          <w:tcPr>
            <w:tcW w:w="4068" w:type="dxa"/>
            <w:noWrap w:val="0"/>
            <w:vAlign w:val="center"/>
          </w:tcPr>
          <w:p>
            <w:pPr>
              <w:tabs>
                <w:tab w:val="left" w:pos="720"/>
              </w:tabs>
              <w:rPr>
                <w:rFonts w:hint="eastAsia" w:ascii="宋体" w:hAnsi="宋体" w:eastAsia="宋体" w:cs="Times New Roman"/>
                <w:kern w:val="2"/>
                <w:sz w:val="21"/>
                <w:szCs w:val="24"/>
                <w:u w:val="single"/>
                <w:lang w:val="en-US" w:eastAsia="zh-CN" w:bidi="ar-SA"/>
              </w:rPr>
            </w:pPr>
            <w:bookmarkStart w:id="76" w:name="_Toc282614006"/>
            <w:r>
              <w:rPr>
                <w:rFonts w:hint="eastAsia" w:ascii="宋体" w:hAnsi="宋体" w:eastAsia="宋体" w:cs="Times New Roman"/>
                <w:kern w:val="2"/>
                <w:sz w:val="21"/>
                <w:szCs w:val="24"/>
                <w:u w:val="single"/>
                <w:lang w:val="en-US" w:eastAsia="zh-CN" w:bidi="ar-SA"/>
              </w:rPr>
              <w:t>投标人地址：</w:t>
            </w:r>
            <w:bookmarkEnd w:id="76"/>
            <w:r>
              <w:rPr>
                <w:rFonts w:hint="eastAsia" w:ascii="宋体" w:hAnsi="宋体" w:eastAsia="宋体" w:cs="Times New Roman"/>
                <w:kern w:val="2"/>
                <w:sz w:val="21"/>
                <w:szCs w:val="24"/>
                <w:u w:val="single"/>
                <w:lang w:val="en-US" w:eastAsia="zh-CN" w:bidi="ar-SA"/>
              </w:rPr>
              <w:t xml:space="preserve">                    </w:t>
            </w:r>
          </w:p>
        </w:tc>
        <w:tc>
          <w:tcPr>
            <w:tcW w:w="5052" w:type="dxa"/>
            <w:noWrap w:val="0"/>
            <w:vAlign w:val="center"/>
          </w:tcPr>
          <w:p>
            <w:pPr>
              <w:tabs>
                <w:tab w:val="left" w:pos="720"/>
              </w:tabs>
              <w:ind w:firstLine="210" w:firstLineChars="100"/>
              <w:rPr>
                <w:rFonts w:hint="eastAsia" w:ascii="宋体" w:hAnsi="宋体" w:eastAsia="宋体" w:cs="Times New Roman"/>
                <w:kern w:val="2"/>
                <w:sz w:val="21"/>
                <w:szCs w:val="24"/>
                <w:u w:val="single"/>
                <w:lang w:val="en-US" w:eastAsia="zh-CN" w:bidi="ar-SA"/>
              </w:rPr>
            </w:pPr>
            <w:bookmarkStart w:id="77" w:name="_Toc282614007"/>
            <w:r>
              <w:rPr>
                <w:rFonts w:hint="eastAsia" w:ascii="宋体" w:hAnsi="宋体" w:eastAsia="宋体" w:cs="Times New Roman"/>
                <w:kern w:val="2"/>
                <w:sz w:val="21"/>
                <w:szCs w:val="24"/>
                <w:u w:val="single"/>
                <w:lang w:val="en-US" w:eastAsia="zh-CN" w:bidi="ar-SA"/>
              </w:rPr>
              <w:t>投标人：         （全称）  （盖章）</w:t>
            </w:r>
            <w:bookmarkEnd w:id="77"/>
            <w:r>
              <w:rPr>
                <w:rFonts w:hint="eastAsia" w:ascii="宋体" w:hAnsi="宋体" w:eastAsia="宋体" w:cs="Times New Roman"/>
                <w:kern w:val="2"/>
                <w:sz w:val="21"/>
                <w:szCs w:val="24"/>
                <w:u w:val="single"/>
                <w:lang w:val="en-US" w:eastAsia="zh-CN" w:bidi="ar-SA"/>
              </w:rPr>
              <w:t xml:space="preserve"> </w:t>
            </w:r>
          </w:p>
        </w:tc>
      </w:tr>
      <w:tr>
        <w:tblPrEx>
          <w:tblLayout w:type="fixed"/>
          <w:tblCellMar>
            <w:top w:w="0" w:type="dxa"/>
            <w:left w:w="108" w:type="dxa"/>
            <w:bottom w:w="0" w:type="dxa"/>
            <w:right w:w="108" w:type="dxa"/>
          </w:tblCellMar>
        </w:tblPrEx>
        <w:trPr>
          <w:trHeight w:val="510" w:hRule="exact"/>
          <w:jc w:val="center"/>
        </w:trPr>
        <w:tc>
          <w:tcPr>
            <w:tcW w:w="4068" w:type="dxa"/>
            <w:noWrap w:val="0"/>
            <w:vAlign w:val="center"/>
          </w:tcPr>
          <w:p>
            <w:pPr>
              <w:tabs>
                <w:tab w:val="left" w:pos="720"/>
              </w:tabs>
              <w:rPr>
                <w:rFonts w:hint="eastAsia" w:ascii="宋体" w:hAnsi="宋体" w:eastAsia="宋体" w:cs="Times New Roman"/>
                <w:kern w:val="2"/>
                <w:sz w:val="21"/>
                <w:szCs w:val="24"/>
                <w:u w:val="single"/>
                <w:lang w:val="en-US" w:eastAsia="zh-CN" w:bidi="ar-SA"/>
              </w:rPr>
            </w:pPr>
            <w:bookmarkStart w:id="78" w:name="_Toc282614008"/>
            <w:r>
              <w:rPr>
                <w:rFonts w:hint="eastAsia" w:ascii="宋体" w:hAnsi="宋体" w:eastAsia="宋体" w:cs="Times New Roman"/>
                <w:kern w:val="2"/>
                <w:sz w:val="21"/>
                <w:szCs w:val="24"/>
                <w:u w:val="single"/>
                <w:lang w:val="en-US" w:eastAsia="zh-CN" w:bidi="ar-SA"/>
              </w:rPr>
              <w:t>邮政编码：</w:t>
            </w:r>
            <w:bookmarkEnd w:id="78"/>
            <w:r>
              <w:rPr>
                <w:rFonts w:hint="eastAsia" w:ascii="宋体" w:hAnsi="宋体" w:eastAsia="宋体" w:cs="Times New Roman"/>
                <w:kern w:val="2"/>
                <w:sz w:val="21"/>
                <w:szCs w:val="24"/>
                <w:u w:val="single"/>
                <w:lang w:val="en-US" w:eastAsia="zh-CN" w:bidi="ar-SA"/>
              </w:rPr>
              <w:t xml:space="preserve">                    </w:t>
            </w:r>
          </w:p>
        </w:tc>
        <w:tc>
          <w:tcPr>
            <w:tcW w:w="5052" w:type="dxa"/>
            <w:noWrap w:val="0"/>
            <w:vAlign w:val="center"/>
          </w:tcPr>
          <w:p>
            <w:pPr>
              <w:tabs>
                <w:tab w:val="left" w:pos="720"/>
              </w:tabs>
              <w:ind w:firstLine="210" w:firstLineChars="100"/>
              <w:rPr>
                <w:rFonts w:hint="eastAsia" w:ascii="宋体" w:hAnsi="宋体" w:eastAsia="宋体" w:cs="Times New Roman"/>
                <w:kern w:val="2"/>
                <w:sz w:val="21"/>
                <w:szCs w:val="24"/>
                <w:u w:val="single"/>
                <w:lang w:val="en-US" w:eastAsia="zh-CN" w:bidi="ar-SA"/>
              </w:rPr>
            </w:pPr>
            <w:bookmarkStart w:id="79" w:name="_Toc282614009"/>
            <w:r>
              <w:rPr>
                <w:rFonts w:hint="eastAsia" w:ascii="宋体" w:hAnsi="宋体" w:eastAsia="宋体" w:cs="Times New Roman"/>
                <w:kern w:val="2"/>
                <w:sz w:val="21"/>
                <w:szCs w:val="24"/>
                <w:u w:val="single"/>
                <w:lang w:val="en-US" w:eastAsia="zh-CN" w:bidi="ar-SA"/>
              </w:rPr>
              <w:t>法 定 代 表 人：</w:t>
            </w:r>
            <w:bookmarkEnd w:id="79"/>
            <w:r>
              <w:rPr>
                <w:rFonts w:hint="eastAsia" w:ascii="宋体" w:hAnsi="宋体" w:eastAsia="宋体" w:cs="Times New Roman"/>
                <w:kern w:val="2"/>
                <w:sz w:val="21"/>
                <w:szCs w:val="24"/>
                <w:u w:val="single"/>
                <w:lang w:val="en-US" w:eastAsia="zh-CN" w:bidi="ar-SA"/>
              </w:rPr>
              <w:t xml:space="preserve">                     </w:t>
            </w:r>
          </w:p>
        </w:tc>
      </w:tr>
      <w:tr>
        <w:tblPrEx>
          <w:tblLayout w:type="fixed"/>
          <w:tblCellMar>
            <w:top w:w="0" w:type="dxa"/>
            <w:left w:w="108" w:type="dxa"/>
            <w:bottom w:w="0" w:type="dxa"/>
            <w:right w:w="108" w:type="dxa"/>
          </w:tblCellMar>
        </w:tblPrEx>
        <w:trPr>
          <w:trHeight w:val="510" w:hRule="exact"/>
          <w:jc w:val="center"/>
        </w:trPr>
        <w:tc>
          <w:tcPr>
            <w:tcW w:w="4068" w:type="dxa"/>
            <w:noWrap w:val="0"/>
            <w:vAlign w:val="center"/>
          </w:tcPr>
          <w:p>
            <w:pPr>
              <w:tabs>
                <w:tab w:val="left" w:pos="720"/>
              </w:tabs>
              <w:rPr>
                <w:rFonts w:hint="eastAsia" w:ascii="宋体" w:hAnsi="宋体" w:eastAsia="宋体" w:cs="Times New Roman"/>
                <w:kern w:val="2"/>
                <w:sz w:val="21"/>
                <w:szCs w:val="24"/>
                <w:u w:val="single"/>
                <w:lang w:val="en-US" w:eastAsia="zh-CN" w:bidi="ar-SA"/>
              </w:rPr>
            </w:pPr>
            <w:bookmarkStart w:id="80" w:name="_Toc282614010"/>
            <w:r>
              <w:rPr>
                <w:rFonts w:hint="eastAsia" w:ascii="宋体" w:hAnsi="宋体" w:eastAsia="宋体" w:cs="Times New Roman"/>
                <w:kern w:val="2"/>
                <w:sz w:val="21"/>
                <w:szCs w:val="24"/>
                <w:u w:val="single"/>
                <w:lang w:val="en-US" w:eastAsia="zh-CN" w:bidi="ar-SA"/>
              </w:rPr>
              <w:t>电     话：</w:t>
            </w:r>
            <w:bookmarkEnd w:id="80"/>
            <w:r>
              <w:rPr>
                <w:rFonts w:hint="eastAsia" w:ascii="宋体" w:hAnsi="宋体" w:eastAsia="宋体" w:cs="Times New Roman"/>
                <w:kern w:val="2"/>
                <w:sz w:val="21"/>
                <w:szCs w:val="24"/>
                <w:u w:val="single"/>
                <w:lang w:val="en-US" w:eastAsia="zh-CN" w:bidi="ar-SA"/>
              </w:rPr>
              <w:t xml:space="preserve">                       </w:t>
            </w:r>
          </w:p>
        </w:tc>
        <w:tc>
          <w:tcPr>
            <w:tcW w:w="5052" w:type="dxa"/>
            <w:noWrap w:val="0"/>
            <w:vAlign w:val="center"/>
          </w:tcPr>
          <w:p>
            <w:pPr>
              <w:tabs>
                <w:tab w:val="left" w:pos="720"/>
              </w:tabs>
              <w:ind w:firstLine="1470" w:firstLineChars="700"/>
              <w:rPr>
                <w:rFonts w:hint="eastAsia" w:ascii="宋体" w:hAnsi="宋体" w:eastAsia="宋体" w:cs="Times New Roman"/>
                <w:kern w:val="2"/>
                <w:sz w:val="21"/>
                <w:szCs w:val="24"/>
                <w:u w:val="single"/>
                <w:lang w:val="en-US" w:eastAsia="zh-CN" w:bidi="ar-SA"/>
              </w:rPr>
            </w:pPr>
            <w:bookmarkStart w:id="81" w:name="_Toc282614011"/>
            <w:r>
              <w:rPr>
                <w:rFonts w:hint="eastAsia" w:ascii="宋体" w:hAnsi="宋体" w:eastAsia="宋体" w:cs="Times New Roman"/>
                <w:kern w:val="2"/>
                <w:sz w:val="21"/>
                <w:szCs w:val="24"/>
                <w:u w:val="single"/>
                <w:lang w:val="en-US" w:eastAsia="zh-CN" w:bidi="ar-SA"/>
              </w:rPr>
              <w:t>或</w:t>
            </w:r>
            <w:bookmarkEnd w:id="81"/>
          </w:p>
        </w:tc>
      </w:tr>
      <w:tr>
        <w:tblPrEx>
          <w:tblLayout w:type="fixed"/>
          <w:tblCellMar>
            <w:top w:w="0" w:type="dxa"/>
            <w:left w:w="108" w:type="dxa"/>
            <w:bottom w:w="0" w:type="dxa"/>
            <w:right w:w="108" w:type="dxa"/>
          </w:tblCellMar>
        </w:tblPrEx>
        <w:trPr>
          <w:trHeight w:val="510" w:hRule="exact"/>
          <w:jc w:val="center"/>
        </w:trPr>
        <w:tc>
          <w:tcPr>
            <w:tcW w:w="4068" w:type="dxa"/>
            <w:noWrap w:val="0"/>
            <w:vAlign w:val="center"/>
          </w:tcPr>
          <w:p>
            <w:pPr>
              <w:tabs>
                <w:tab w:val="left" w:pos="720"/>
              </w:tabs>
              <w:rPr>
                <w:rFonts w:hint="eastAsia" w:ascii="宋体" w:hAnsi="宋体" w:eastAsia="宋体" w:cs="Times New Roman"/>
                <w:kern w:val="2"/>
                <w:sz w:val="21"/>
                <w:szCs w:val="24"/>
                <w:u w:val="single"/>
                <w:lang w:val="en-US" w:eastAsia="zh-CN" w:bidi="ar-SA"/>
              </w:rPr>
            </w:pPr>
            <w:bookmarkStart w:id="82" w:name="_Toc282614012"/>
            <w:r>
              <w:rPr>
                <w:rFonts w:hint="eastAsia" w:ascii="宋体" w:hAnsi="宋体" w:eastAsia="宋体" w:cs="Times New Roman"/>
                <w:kern w:val="2"/>
                <w:sz w:val="21"/>
                <w:szCs w:val="24"/>
                <w:u w:val="single"/>
                <w:lang w:val="en-US" w:eastAsia="zh-CN" w:bidi="ar-SA"/>
              </w:rPr>
              <w:t>传     真：</w:t>
            </w:r>
            <w:bookmarkEnd w:id="82"/>
            <w:r>
              <w:rPr>
                <w:rFonts w:hint="eastAsia" w:ascii="宋体" w:hAnsi="宋体" w:eastAsia="宋体" w:cs="Times New Roman"/>
                <w:kern w:val="2"/>
                <w:sz w:val="21"/>
                <w:szCs w:val="24"/>
                <w:u w:val="single"/>
                <w:lang w:val="en-US" w:eastAsia="zh-CN" w:bidi="ar-SA"/>
              </w:rPr>
              <w:t xml:space="preserve">                    </w:t>
            </w:r>
          </w:p>
        </w:tc>
        <w:tc>
          <w:tcPr>
            <w:tcW w:w="5052" w:type="dxa"/>
            <w:noWrap w:val="0"/>
            <w:vAlign w:val="center"/>
          </w:tcPr>
          <w:p>
            <w:pPr>
              <w:tabs>
                <w:tab w:val="left" w:pos="720"/>
              </w:tabs>
              <w:ind w:firstLine="210" w:firstLineChars="100"/>
              <w:rPr>
                <w:rFonts w:hint="eastAsia" w:ascii="宋体" w:hAnsi="宋体" w:eastAsia="宋体" w:cs="Times New Roman"/>
                <w:kern w:val="2"/>
                <w:sz w:val="21"/>
                <w:szCs w:val="24"/>
                <w:u w:val="single"/>
                <w:lang w:val="en-US" w:eastAsia="zh-CN" w:bidi="ar-SA"/>
              </w:rPr>
            </w:pPr>
            <w:bookmarkStart w:id="83" w:name="_Toc282614013"/>
            <w:r>
              <w:rPr>
                <w:rFonts w:hint="eastAsia" w:ascii="宋体" w:hAnsi="宋体" w:eastAsia="宋体" w:cs="Times New Roman"/>
                <w:kern w:val="2"/>
                <w:sz w:val="21"/>
                <w:szCs w:val="24"/>
                <w:u w:val="single"/>
                <w:lang w:val="en-US" w:eastAsia="zh-CN" w:bidi="ar-SA"/>
              </w:rPr>
              <w:t xml:space="preserve">其授权的代理人：    </w:t>
            </w:r>
            <w:bookmarkEnd w:id="83"/>
            <w:r>
              <w:rPr>
                <w:rFonts w:hint="eastAsia" w:ascii="宋体" w:hAnsi="宋体" w:eastAsia="宋体" w:cs="Times New Roman"/>
                <w:kern w:val="2"/>
                <w:sz w:val="21"/>
                <w:szCs w:val="24"/>
                <w:u w:val="single"/>
                <w:lang w:val="en-US" w:eastAsia="zh-CN" w:bidi="ar-SA"/>
              </w:rPr>
              <w:t xml:space="preserve">（签字或盖签名章）         </w:t>
            </w:r>
          </w:p>
        </w:tc>
      </w:tr>
      <w:tr>
        <w:tblPrEx>
          <w:tblLayout w:type="fixed"/>
          <w:tblCellMar>
            <w:top w:w="0" w:type="dxa"/>
            <w:left w:w="108" w:type="dxa"/>
            <w:bottom w:w="0" w:type="dxa"/>
            <w:right w:w="108" w:type="dxa"/>
          </w:tblCellMar>
        </w:tblPrEx>
        <w:trPr>
          <w:trHeight w:val="510" w:hRule="exact"/>
          <w:jc w:val="center"/>
        </w:trPr>
        <w:tc>
          <w:tcPr>
            <w:tcW w:w="4068" w:type="dxa"/>
            <w:noWrap w:val="0"/>
            <w:vAlign w:val="center"/>
          </w:tcPr>
          <w:p>
            <w:pPr>
              <w:tabs>
                <w:tab w:val="left" w:pos="720"/>
              </w:tabs>
              <w:rPr>
                <w:rFonts w:hint="eastAsia" w:ascii="宋体" w:hAnsi="宋体" w:eastAsia="宋体" w:cs="Times New Roman"/>
                <w:kern w:val="2"/>
                <w:sz w:val="21"/>
                <w:szCs w:val="24"/>
                <w:u w:val="single"/>
                <w:lang w:val="en-US" w:eastAsia="zh-CN" w:bidi="ar-SA"/>
              </w:rPr>
            </w:pPr>
          </w:p>
        </w:tc>
        <w:tc>
          <w:tcPr>
            <w:tcW w:w="5052" w:type="dxa"/>
            <w:noWrap w:val="0"/>
            <w:vAlign w:val="center"/>
          </w:tcPr>
          <w:p>
            <w:pPr>
              <w:tabs>
                <w:tab w:val="left" w:pos="720"/>
                <w:tab w:val="left" w:pos="2035"/>
              </w:tabs>
              <w:ind w:firstLine="315" w:firstLineChars="150"/>
              <w:rPr>
                <w:rFonts w:hint="eastAsia" w:ascii="宋体" w:hAnsi="宋体" w:eastAsia="宋体" w:cs="Times New Roman"/>
                <w:kern w:val="2"/>
                <w:sz w:val="21"/>
                <w:szCs w:val="24"/>
                <w:u w:val="single"/>
                <w:lang w:val="en-US" w:eastAsia="zh-CN" w:bidi="ar-SA"/>
              </w:rPr>
            </w:pPr>
            <w:bookmarkStart w:id="84" w:name="_Toc282614014"/>
            <w:r>
              <w:rPr>
                <w:rFonts w:hint="eastAsia" w:ascii="宋体" w:hAnsi="宋体" w:eastAsia="宋体" w:cs="Times New Roman"/>
                <w:kern w:val="2"/>
                <w:sz w:val="21"/>
                <w:szCs w:val="24"/>
                <w:u w:val="single"/>
                <w:lang w:val="en-US" w:eastAsia="zh-CN" w:bidi="ar-SA"/>
              </w:rPr>
              <w:t>日         期：       年    月    日</w:t>
            </w:r>
            <w:bookmarkEnd w:id="84"/>
          </w:p>
        </w:tc>
      </w:tr>
    </w:tbl>
    <w:p>
      <w:pPr>
        <w:spacing w:line="360" w:lineRule="auto"/>
        <w:jc w:val="both"/>
        <w:outlineLvl w:val="0"/>
        <w:rPr>
          <w:rFonts w:ascii="宋体" w:hAnsi="宋体"/>
          <w:b/>
          <w:sz w:val="21"/>
          <w:szCs w:val="21"/>
        </w:rPr>
      </w:pPr>
      <w:r>
        <w:rPr>
          <w:rFonts w:ascii="宋体" w:hAnsi="宋体"/>
          <w:b/>
          <w:bCs/>
          <w:sz w:val="21"/>
          <w:szCs w:val="21"/>
        </w:rPr>
        <w:br w:type="page"/>
      </w:r>
      <w:bookmarkStart w:id="85" w:name="_Toc522545746"/>
      <w:r>
        <w:rPr>
          <w:rFonts w:hint="eastAsia" w:ascii="宋体" w:hAnsi="宋体" w:cs="宋体"/>
          <w:b/>
          <w:bCs/>
          <w:kern w:val="2"/>
          <w:sz w:val="21"/>
          <w:szCs w:val="21"/>
          <w:lang w:val="zh-CN"/>
        </w:rPr>
        <w:t>附件</w:t>
      </w:r>
      <w:r>
        <w:rPr>
          <w:rFonts w:ascii="宋体" w:hAnsi="宋体" w:cs="宋体"/>
          <w:b/>
          <w:bCs/>
          <w:kern w:val="2"/>
          <w:sz w:val="21"/>
          <w:szCs w:val="21"/>
        </w:rPr>
        <w:t>3</w:t>
      </w:r>
      <w:r>
        <w:rPr>
          <w:rFonts w:hint="eastAsia" w:ascii="宋体" w:hAnsi="宋体" w:cs="宋体"/>
          <w:b/>
          <w:bCs/>
          <w:kern w:val="2"/>
          <w:sz w:val="21"/>
          <w:szCs w:val="21"/>
          <w:lang w:val="zh-CN"/>
        </w:rPr>
        <w:t>：法定</w:t>
      </w:r>
      <w:r>
        <w:rPr>
          <w:rFonts w:ascii="宋体" w:hAnsi="宋体" w:cs="宋体"/>
          <w:b/>
          <w:bCs/>
          <w:kern w:val="2"/>
          <w:sz w:val="21"/>
          <w:szCs w:val="21"/>
          <w:lang w:val="zh-CN"/>
        </w:rPr>
        <w:t>代表人授权委托书</w:t>
      </w:r>
      <w:bookmarkEnd w:id="85"/>
    </w:p>
    <w:p>
      <w:pPr>
        <w:spacing w:line="360" w:lineRule="auto"/>
        <w:jc w:val="center"/>
        <w:rPr>
          <w:b/>
          <w:sz w:val="21"/>
        </w:rPr>
      </w:pPr>
    </w:p>
    <w:p>
      <w:pPr>
        <w:spacing w:line="360" w:lineRule="auto"/>
        <w:jc w:val="center"/>
        <w:rPr>
          <w:b/>
          <w:sz w:val="21"/>
        </w:rPr>
      </w:pPr>
      <w:r>
        <w:rPr>
          <w:rFonts w:hint="eastAsia"/>
          <w:b/>
          <w:sz w:val="21"/>
        </w:rPr>
        <w:t>法定代表人授权委托书</w:t>
      </w:r>
    </w:p>
    <w:p>
      <w:pPr>
        <w:spacing w:line="360" w:lineRule="auto"/>
        <w:jc w:val="center"/>
        <w:rPr>
          <w:b/>
          <w:sz w:val="21"/>
        </w:rPr>
      </w:pPr>
    </w:p>
    <w:p>
      <w:pPr>
        <w:pStyle w:val="9"/>
        <w:overflowPunct w:val="0"/>
        <w:spacing w:line="360" w:lineRule="auto"/>
        <w:ind w:firstLineChars="200"/>
        <w:rPr>
          <w:rFonts w:ascii="宋体" w:hAnsi="宋体"/>
          <w:szCs w:val="21"/>
        </w:rPr>
      </w:pPr>
      <w:r>
        <w:rPr>
          <w:rFonts w:hint="eastAsia" w:ascii="宋体" w:hAnsi="宋体"/>
        </w:rPr>
        <w:t>本授权委托书声明：我</w:t>
      </w:r>
      <w:r>
        <w:rPr>
          <w:rFonts w:ascii="宋体" w:hAnsi="宋体"/>
          <w:u w:val="single"/>
        </w:rPr>
        <w:t xml:space="preserve">       </w:t>
      </w:r>
      <w:r>
        <w:rPr>
          <w:rFonts w:hint="eastAsia" w:ascii="宋体" w:hAnsi="宋体"/>
        </w:rPr>
        <w:t>（姓名）系</w:t>
      </w:r>
      <w:r>
        <w:rPr>
          <w:rFonts w:ascii="宋体" w:hAnsi="宋体"/>
          <w:u w:val="single"/>
        </w:rPr>
        <w:t xml:space="preserve">                  </w:t>
      </w:r>
      <w:r>
        <w:rPr>
          <w:rFonts w:hint="eastAsia" w:ascii="宋体" w:hAnsi="宋体"/>
        </w:rPr>
        <w:t>（供应商名称）的法定代表人，现授权委托</w:t>
      </w:r>
      <w:r>
        <w:rPr>
          <w:rFonts w:ascii="宋体" w:hAnsi="宋体"/>
          <w:u w:val="single"/>
        </w:rPr>
        <w:t xml:space="preserve">                 </w:t>
      </w:r>
      <w:r>
        <w:rPr>
          <w:rFonts w:hint="eastAsia" w:ascii="宋体" w:hAnsi="宋体"/>
        </w:rPr>
        <w:t>（单位名称）的</w:t>
      </w:r>
      <w:r>
        <w:rPr>
          <w:rFonts w:ascii="宋体" w:hAnsi="宋体"/>
          <w:u w:val="single"/>
        </w:rPr>
        <w:t xml:space="preserve">        </w:t>
      </w:r>
      <w:r>
        <w:rPr>
          <w:rFonts w:hint="eastAsia" w:ascii="宋体" w:hAnsi="宋体"/>
        </w:rPr>
        <w:t>（姓名）为我公司代理人，以本公司的名义参加南通港集团建设投资</w:t>
      </w:r>
      <w:r>
        <w:rPr>
          <w:rFonts w:hint="eastAsia"/>
          <w:szCs w:val="21"/>
        </w:rPr>
        <w:t>有限公司</w:t>
      </w:r>
      <w:r>
        <w:rPr>
          <w:rFonts w:hint="eastAsia" w:ascii="宋体" w:hAnsi="宋体"/>
        </w:rPr>
        <w:t>实施的编号为</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的谈判采购活动。代理人在谈判采购过程中所签署的一切文件和处理与这有关</w:t>
      </w:r>
      <w:r>
        <w:rPr>
          <w:rFonts w:hint="eastAsia" w:ascii="宋体" w:hAnsi="宋体"/>
          <w:szCs w:val="21"/>
        </w:rPr>
        <w:t>的一切事务，我公司均予以承认。</w:t>
      </w:r>
    </w:p>
    <w:p>
      <w:pPr>
        <w:pStyle w:val="9"/>
        <w:overflowPunct w:val="0"/>
        <w:spacing w:line="360" w:lineRule="auto"/>
        <w:ind w:firstLineChars="200"/>
        <w:rPr>
          <w:rFonts w:ascii="宋体" w:hAnsi="宋体"/>
          <w:szCs w:val="21"/>
        </w:rPr>
      </w:pPr>
      <w:r>
        <w:rPr>
          <w:rFonts w:hint="eastAsia" w:ascii="宋体" w:hAnsi="宋体"/>
          <w:szCs w:val="21"/>
        </w:rPr>
        <w:t>代理人在授权委托书有效期内签署的所有文件不因授权委托的撤销而失效，除非有撤销授权委托的书面通知，本授权委托书自谈判开始至合同履行完毕止。</w:t>
      </w:r>
    </w:p>
    <w:p>
      <w:pPr>
        <w:spacing w:line="360" w:lineRule="auto"/>
        <w:ind w:firstLine="420" w:firstLineChars="200"/>
        <w:jc w:val="both"/>
        <w:rPr>
          <w:rFonts w:ascii="宋体" w:hAnsi="宋体"/>
          <w:sz w:val="21"/>
          <w:szCs w:val="21"/>
        </w:rPr>
      </w:pPr>
      <w:r>
        <w:rPr>
          <w:rFonts w:hint="eastAsia" w:ascii="宋体" w:hAnsi="宋体"/>
          <w:sz w:val="21"/>
          <w:szCs w:val="21"/>
        </w:rPr>
        <w:t>代理人无转委托权。特此委托。</w:t>
      </w:r>
    </w:p>
    <w:p>
      <w:pPr>
        <w:spacing w:line="360" w:lineRule="auto"/>
        <w:ind w:firstLine="420" w:firstLineChars="200"/>
        <w:jc w:val="both"/>
        <w:rPr>
          <w:rFonts w:ascii="宋体" w:hAnsi="宋体"/>
          <w:sz w:val="21"/>
          <w:szCs w:val="21"/>
        </w:rPr>
      </w:pPr>
    </w:p>
    <w:p>
      <w:pPr>
        <w:spacing w:line="360" w:lineRule="auto"/>
        <w:ind w:firstLine="420" w:firstLineChars="200"/>
        <w:jc w:val="both"/>
        <w:rPr>
          <w:rFonts w:ascii="宋体" w:hAnsi="宋体"/>
          <w:sz w:val="21"/>
          <w:szCs w:val="21"/>
        </w:rPr>
      </w:pPr>
    </w:p>
    <w:p>
      <w:pPr>
        <w:pStyle w:val="9"/>
        <w:overflowPunct w:val="0"/>
        <w:spacing w:line="360" w:lineRule="auto"/>
        <w:ind w:firstLineChars="200"/>
        <w:rPr>
          <w:rFonts w:ascii="宋体" w:hAnsi="宋体"/>
        </w:rPr>
      </w:pPr>
      <w:r>
        <w:rPr>
          <w:rFonts w:hint="eastAsia" w:ascii="宋体" w:hAnsi="宋体"/>
        </w:rPr>
        <w:t>供应商：（盖章）</w:t>
      </w:r>
    </w:p>
    <w:p>
      <w:pPr>
        <w:pStyle w:val="9"/>
        <w:overflowPunct w:val="0"/>
        <w:spacing w:line="360" w:lineRule="auto"/>
        <w:ind w:firstLineChars="200"/>
        <w:rPr>
          <w:rFonts w:ascii="宋体" w:hAnsi="宋体"/>
        </w:rPr>
      </w:pPr>
      <w:r>
        <w:rPr>
          <w:rFonts w:hint="eastAsia" w:ascii="宋体" w:hAnsi="宋体"/>
        </w:rPr>
        <w:t>法定代表人：（签字或签章）</w:t>
      </w:r>
    </w:p>
    <w:p>
      <w:pPr>
        <w:pStyle w:val="9"/>
        <w:overflowPunct w:val="0"/>
        <w:spacing w:line="360" w:lineRule="auto"/>
        <w:ind w:firstLineChars="200"/>
        <w:rPr>
          <w:rFonts w:ascii="宋体" w:hAnsi="宋体"/>
        </w:rPr>
      </w:pPr>
      <w:r>
        <w:rPr>
          <w:rFonts w:hint="eastAsia" w:ascii="宋体" w:hAnsi="宋体"/>
        </w:rPr>
        <w:t>代理人：（签字或签章）</w:t>
      </w:r>
    </w:p>
    <w:p>
      <w:pPr>
        <w:spacing w:line="360" w:lineRule="auto"/>
        <w:ind w:firstLine="420" w:firstLineChars="200"/>
        <w:jc w:val="both"/>
        <w:rPr>
          <w:rFonts w:ascii="宋体" w:hAnsi="宋体"/>
          <w:sz w:val="21"/>
          <w:szCs w:val="21"/>
        </w:rPr>
      </w:pPr>
      <w:r>
        <w:rPr>
          <w:rFonts w:hint="eastAsia" w:ascii="宋体" w:hAnsi="宋体"/>
          <w:sz w:val="21"/>
          <w:szCs w:val="21"/>
        </w:rPr>
        <w:t>日期：</w:t>
      </w: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xml:space="preserve"> 日</w:t>
      </w:r>
    </w:p>
    <w:p>
      <w:pPr>
        <w:pStyle w:val="52"/>
        <w:adjustRightInd/>
        <w:spacing w:line="360" w:lineRule="auto"/>
        <w:jc w:val="both"/>
        <w:outlineLvl w:val="0"/>
        <w:rPr>
          <w:rFonts w:hAnsi="宋体" w:eastAsia="宋体"/>
          <w:b/>
          <w:sz w:val="24"/>
          <w:szCs w:val="24"/>
        </w:rPr>
      </w:pPr>
      <w:r>
        <w:rPr>
          <w:rFonts w:hAnsi="宋体"/>
          <w:b/>
          <w:sz w:val="21"/>
        </w:rPr>
        <w:br w:type="page"/>
      </w:r>
      <w:bookmarkStart w:id="86" w:name="_Toc522545747"/>
      <w:r>
        <w:rPr>
          <w:rFonts w:hint="eastAsia" w:hAnsi="宋体" w:eastAsia="宋体"/>
          <w:b/>
          <w:bCs/>
          <w:sz w:val="21"/>
          <w:szCs w:val="21"/>
        </w:rPr>
        <w:t>附件</w:t>
      </w:r>
      <w:r>
        <w:rPr>
          <w:rFonts w:hAnsi="宋体" w:eastAsia="宋体"/>
          <w:b/>
          <w:bCs/>
          <w:sz w:val="21"/>
          <w:szCs w:val="21"/>
        </w:rPr>
        <w:t>4</w:t>
      </w:r>
      <w:r>
        <w:rPr>
          <w:rFonts w:hint="eastAsia" w:hAnsi="宋体" w:eastAsia="宋体"/>
          <w:b/>
          <w:bCs/>
          <w:sz w:val="21"/>
          <w:szCs w:val="21"/>
        </w:rPr>
        <w:t>：谈判</w:t>
      </w:r>
      <w:r>
        <w:rPr>
          <w:rFonts w:hAnsi="宋体" w:eastAsia="宋体"/>
          <w:b/>
          <w:bCs/>
          <w:sz w:val="21"/>
          <w:szCs w:val="21"/>
        </w:rPr>
        <w:t>报价表</w:t>
      </w:r>
      <w:bookmarkEnd w:id="86"/>
    </w:p>
    <w:p>
      <w:pPr>
        <w:pStyle w:val="52"/>
        <w:adjustRightInd/>
        <w:spacing w:line="360" w:lineRule="auto"/>
        <w:jc w:val="center"/>
        <w:rPr>
          <w:rFonts w:hAnsi="宋体" w:eastAsia="宋体"/>
          <w:b/>
          <w:sz w:val="21"/>
          <w:szCs w:val="24"/>
        </w:rPr>
      </w:pPr>
    </w:p>
    <w:p>
      <w:pPr>
        <w:pStyle w:val="52"/>
        <w:adjustRightInd/>
        <w:spacing w:line="360" w:lineRule="auto"/>
        <w:jc w:val="center"/>
        <w:rPr>
          <w:rFonts w:hAnsi="宋体" w:eastAsia="宋体"/>
          <w:b/>
          <w:sz w:val="21"/>
          <w:szCs w:val="24"/>
        </w:rPr>
      </w:pPr>
      <w:r>
        <w:rPr>
          <w:rFonts w:hint="eastAsia" w:hAnsi="宋体" w:eastAsia="宋体"/>
          <w:b/>
          <w:sz w:val="21"/>
          <w:szCs w:val="24"/>
        </w:rPr>
        <w:t>谈判报价表</w:t>
      </w:r>
    </w:p>
    <w:p>
      <w:pPr>
        <w:pStyle w:val="52"/>
        <w:adjustRightInd/>
        <w:spacing w:line="360" w:lineRule="auto"/>
        <w:jc w:val="center"/>
        <w:rPr>
          <w:rFonts w:hAnsi="宋体" w:eastAsia="宋体"/>
          <w:b/>
          <w:sz w:val="21"/>
          <w:szCs w:val="24"/>
        </w:rPr>
      </w:pPr>
    </w:p>
    <w:tbl>
      <w:tblPr>
        <w:tblStyle w:val="29"/>
        <w:tblW w:w="9968"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44"/>
        <w:gridCol w:w="5426"/>
        <w:gridCol w:w="2120"/>
        <w:gridCol w:w="167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744"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5426"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2120"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金额</w:t>
            </w:r>
          </w:p>
        </w:tc>
        <w:tc>
          <w:tcPr>
            <w:tcW w:w="1678" w:type="dxa"/>
            <w:tcBorders>
              <w:top w:val="single" w:color="000000" w:sz="4" w:space="0"/>
              <w:left w:val="single" w:color="000000" w:sz="4" w:space="0"/>
              <w:right w:val="single" w:color="000000" w:sz="4" w:space="0"/>
            </w:tcBorders>
            <w:noWrap w:val="0"/>
            <w:vAlign w:val="center"/>
          </w:tcPr>
          <w:p>
            <w:pPr>
              <w:autoSpaceDN w:val="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7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1</w:t>
            </w:r>
          </w:p>
        </w:tc>
        <w:tc>
          <w:tcPr>
            <w:tcW w:w="54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textAlignment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kern w:val="0"/>
                <w:sz w:val="21"/>
                <w:szCs w:val="21"/>
                <w:lang w:bidi="ar"/>
              </w:rPr>
              <w:t>特许经营实施方案的编制</w:t>
            </w:r>
          </w:p>
        </w:tc>
        <w:tc>
          <w:tcPr>
            <w:tcW w:w="2120" w:type="dxa"/>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p>
        </w:tc>
        <w:tc>
          <w:tcPr>
            <w:tcW w:w="1678" w:type="dxa"/>
            <w:tcBorders>
              <w:top w:val="single" w:color="000000" w:sz="4" w:space="0"/>
              <w:left w:val="single" w:color="000000" w:sz="4" w:space="0"/>
              <w:right w:val="single" w:color="000000" w:sz="4" w:space="0"/>
            </w:tcBorders>
            <w:noWrap w:val="0"/>
            <w:vAlign w:val="top"/>
          </w:tcPr>
          <w:p>
            <w:pPr>
              <w:autoSpaceDN w:val="0"/>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7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2</w:t>
            </w:r>
          </w:p>
        </w:tc>
        <w:tc>
          <w:tcPr>
            <w:tcW w:w="54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textAlignment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bidi="ar"/>
              </w:rPr>
              <w:t>特许经营实施方案</w:t>
            </w:r>
            <w:r>
              <w:rPr>
                <w:rFonts w:hint="eastAsia" w:asciiTheme="minorEastAsia" w:hAnsiTheme="minorEastAsia" w:eastAsiaTheme="minorEastAsia" w:cstheme="minorEastAsia"/>
                <w:kern w:val="0"/>
                <w:sz w:val="21"/>
                <w:szCs w:val="21"/>
                <w:lang w:val="en-US" w:eastAsia="zh-CN" w:bidi="ar"/>
              </w:rPr>
              <w:t>评审</w:t>
            </w:r>
          </w:p>
        </w:tc>
        <w:tc>
          <w:tcPr>
            <w:tcW w:w="21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p>
        </w:tc>
        <w:tc>
          <w:tcPr>
            <w:tcW w:w="167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7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lang w:bidi="ar"/>
              </w:rPr>
              <w:t>3</w:t>
            </w:r>
          </w:p>
        </w:tc>
        <w:tc>
          <w:tcPr>
            <w:tcW w:w="54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textAlignment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bidi="ar"/>
              </w:rPr>
              <w:t>特许经营协议</w:t>
            </w:r>
            <w:r>
              <w:rPr>
                <w:rFonts w:hint="eastAsia" w:asciiTheme="minorEastAsia" w:hAnsiTheme="minorEastAsia" w:eastAsiaTheme="minorEastAsia" w:cstheme="minorEastAsia"/>
                <w:kern w:val="0"/>
                <w:sz w:val="21"/>
                <w:szCs w:val="21"/>
                <w:lang w:val="en-US" w:eastAsia="zh-CN" w:bidi="ar"/>
              </w:rPr>
              <w:t>编制</w:t>
            </w:r>
          </w:p>
        </w:tc>
        <w:tc>
          <w:tcPr>
            <w:tcW w:w="21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p>
        </w:tc>
        <w:tc>
          <w:tcPr>
            <w:tcW w:w="167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7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kern w:val="0"/>
                <w:sz w:val="21"/>
                <w:szCs w:val="21"/>
                <w:lang w:bidi="ar"/>
              </w:rPr>
              <w:t>4</w:t>
            </w:r>
          </w:p>
        </w:tc>
        <w:tc>
          <w:tcPr>
            <w:tcW w:w="54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textAlignment w:val="center"/>
              <w:rPr>
                <w:rFonts w:hint="eastAsia" w:asciiTheme="minorEastAsia" w:hAnsiTheme="minorEastAsia" w:eastAsiaTheme="minorEastAsia" w:cstheme="minorEastAsia"/>
                <w:kern w:val="0"/>
                <w:sz w:val="21"/>
                <w:szCs w:val="21"/>
                <w:lang w:bidi="ar"/>
              </w:rPr>
            </w:pPr>
            <w:r>
              <w:rPr>
                <w:rFonts w:hint="eastAsia" w:asciiTheme="minorEastAsia" w:hAnsiTheme="minorEastAsia" w:eastAsiaTheme="minorEastAsia" w:cstheme="minorEastAsia"/>
                <w:kern w:val="0"/>
                <w:sz w:val="21"/>
                <w:szCs w:val="21"/>
                <w:lang w:bidi="ar"/>
              </w:rPr>
              <w:t>特许经营协议</w:t>
            </w:r>
            <w:r>
              <w:rPr>
                <w:rFonts w:hint="eastAsia" w:asciiTheme="minorEastAsia" w:hAnsiTheme="minorEastAsia" w:eastAsiaTheme="minorEastAsia" w:cstheme="minorEastAsia"/>
                <w:kern w:val="0"/>
                <w:sz w:val="21"/>
                <w:szCs w:val="21"/>
                <w:lang w:val="en-US" w:eastAsia="zh-CN" w:bidi="ar"/>
              </w:rPr>
              <w:t>评审</w:t>
            </w:r>
          </w:p>
        </w:tc>
        <w:tc>
          <w:tcPr>
            <w:tcW w:w="21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p>
        </w:tc>
        <w:tc>
          <w:tcPr>
            <w:tcW w:w="167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7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kern w:val="0"/>
                <w:sz w:val="21"/>
                <w:szCs w:val="21"/>
                <w:lang w:bidi="ar"/>
              </w:rPr>
              <w:t>5</w:t>
            </w:r>
          </w:p>
        </w:tc>
        <w:tc>
          <w:tcPr>
            <w:tcW w:w="54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textAlignment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bidi="ar"/>
              </w:rPr>
              <w:t>后续服务</w:t>
            </w:r>
          </w:p>
        </w:tc>
        <w:tc>
          <w:tcPr>
            <w:tcW w:w="21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p>
        </w:tc>
        <w:tc>
          <w:tcPr>
            <w:tcW w:w="167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7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center"/>
              <w:textAlignment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6</w:t>
            </w:r>
          </w:p>
        </w:tc>
        <w:tc>
          <w:tcPr>
            <w:tcW w:w="54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jc w:val="left"/>
              <w:textAlignment w:val="center"/>
              <w:rPr>
                <w:rFonts w:hint="eastAsia" w:asciiTheme="minorEastAsia" w:hAnsiTheme="minorEastAsia" w:eastAsiaTheme="minorEastAsia" w:cstheme="minorEastAsia"/>
                <w:kern w:val="0"/>
                <w:sz w:val="21"/>
                <w:szCs w:val="21"/>
                <w:lang w:eastAsia="zh-CN" w:bidi="ar"/>
              </w:rPr>
            </w:pPr>
            <w:r>
              <w:rPr>
                <w:rFonts w:hint="eastAsia" w:asciiTheme="minorEastAsia" w:hAnsiTheme="minorEastAsia" w:eastAsiaTheme="minorEastAsia" w:cstheme="minorEastAsia"/>
                <w:kern w:val="0"/>
                <w:sz w:val="21"/>
                <w:szCs w:val="21"/>
                <w:lang w:val="en-US" w:eastAsia="zh-CN" w:bidi="ar"/>
              </w:rPr>
              <w:t>其它</w:t>
            </w:r>
          </w:p>
        </w:tc>
        <w:tc>
          <w:tcPr>
            <w:tcW w:w="21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jc w:val="center"/>
              <w:rPr>
                <w:rFonts w:hint="eastAsia" w:asciiTheme="minorEastAsia" w:hAnsiTheme="minorEastAsia" w:eastAsiaTheme="minorEastAsia" w:cstheme="minorEastAsia"/>
                <w:sz w:val="21"/>
                <w:szCs w:val="21"/>
              </w:rPr>
            </w:pPr>
          </w:p>
        </w:tc>
        <w:tc>
          <w:tcPr>
            <w:tcW w:w="1678" w:type="dxa"/>
            <w:tcBorders>
              <w:top w:val="single" w:color="000000" w:sz="4" w:space="0"/>
              <w:left w:val="single" w:color="000000" w:sz="4" w:space="0"/>
              <w:bottom w:val="single" w:color="000000" w:sz="4" w:space="0"/>
              <w:right w:val="single" w:color="000000" w:sz="4" w:space="0"/>
            </w:tcBorders>
            <w:noWrap w:val="0"/>
            <w:vAlign w:val="top"/>
          </w:tcPr>
          <w:p>
            <w:pPr>
              <w:autoSpaceDN w:val="0"/>
              <w:jc w:val="center"/>
              <w:rPr>
                <w:rFonts w:hint="eastAsia" w:asciiTheme="minorEastAsia" w:hAnsiTheme="minorEastAsia" w:eastAsiaTheme="minorEastAsia" w:cstheme="minorEastAsia"/>
                <w:sz w:val="21"/>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74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before="60" w:after="60"/>
              <w:jc w:val="center"/>
              <w:rPr>
                <w:rFonts w:hint="eastAsia" w:asciiTheme="minorEastAsia" w:hAnsiTheme="minorEastAsia" w:eastAsiaTheme="minorEastAsia" w:cstheme="minorEastAsia"/>
                <w:b/>
                <w:sz w:val="21"/>
                <w:szCs w:val="21"/>
              </w:rPr>
            </w:pPr>
          </w:p>
        </w:tc>
        <w:tc>
          <w:tcPr>
            <w:tcW w:w="542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before="60" w:after="6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投标总价</w:t>
            </w:r>
          </w:p>
        </w:tc>
        <w:tc>
          <w:tcPr>
            <w:tcW w:w="212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autoSpaceDN w:val="0"/>
              <w:spacing w:before="60" w:after="60"/>
              <w:jc w:val="center"/>
              <w:rPr>
                <w:rFonts w:hint="eastAsia" w:asciiTheme="minorEastAsia" w:hAnsiTheme="minorEastAsia" w:eastAsiaTheme="minorEastAsia" w:cstheme="minorEastAsia"/>
                <w:b/>
                <w:sz w:val="21"/>
                <w:szCs w:val="21"/>
              </w:rPr>
            </w:pPr>
          </w:p>
        </w:tc>
        <w:tc>
          <w:tcPr>
            <w:tcW w:w="1678" w:type="dxa"/>
            <w:tcBorders>
              <w:top w:val="single" w:color="000000" w:sz="4" w:space="0"/>
              <w:left w:val="single" w:color="000000" w:sz="4" w:space="0"/>
              <w:bottom w:val="single" w:color="000000" w:sz="4" w:space="0"/>
              <w:right w:val="single" w:color="000000" w:sz="4" w:space="0"/>
            </w:tcBorders>
            <w:noWrap w:val="0"/>
            <w:vAlign w:val="top"/>
          </w:tcPr>
          <w:p>
            <w:pPr>
              <w:autoSpaceDN w:val="0"/>
              <w:spacing w:before="60" w:after="60"/>
              <w:jc w:val="center"/>
              <w:rPr>
                <w:rFonts w:hint="eastAsia" w:asciiTheme="minorEastAsia" w:hAnsiTheme="minorEastAsia" w:eastAsiaTheme="minorEastAsia" w:cstheme="minorEastAsia"/>
                <w:b/>
                <w:sz w:val="21"/>
                <w:szCs w:val="21"/>
              </w:rPr>
            </w:pPr>
          </w:p>
        </w:tc>
      </w:tr>
    </w:tbl>
    <w:p>
      <w:pPr>
        <w:ind w:firstLine="210" w:firstLineChars="100"/>
        <w:rPr>
          <w:rFonts w:hint="eastAsia" w:ascii="宋体" w:hAnsi="宋体"/>
        </w:rPr>
      </w:pPr>
      <w:r>
        <w:rPr>
          <w:rFonts w:hint="eastAsia" w:ascii="宋体" w:hAnsi="宋体"/>
          <w:sz w:val="21"/>
          <w:szCs w:val="21"/>
        </w:rPr>
        <w:t>注</w:t>
      </w:r>
      <w:r>
        <w:rPr>
          <w:rFonts w:ascii="宋体" w:hAnsi="宋体"/>
          <w:sz w:val="21"/>
          <w:szCs w:val="21"/>
        </w:rPr>
        <w:t>：未在本表</w:t>
      </w:r>
      <w:r>
        <w:rPr>
          <w:rFonts w:hint="eastAsia" w:ascii="宋体" w:hAnsi="宋体"/>
          <w:sz w:val="21"/>
          <w:szCs w:val="21"/>
        </w:rPr>
        <w:t>中列明的工作</w:t>
      </w:r>
      <w:r>
        <w:rPr>
          <w:rFonts w:ascii="宋体" w:hAnsi="宋体"/>
          <w:sz w:val="21"/>
          <w:szCs w:val="21"/>
        </w:rPr>
        <w:t>费用视为已含入本表相关细目</w:t>
      </w:r>
      <w:r>
        <w:rPr>
          <w:rFonts w:hint="eastAsia" w:ascii="宋体" w:hAnsi="宋体"/>
          <w:sz w:val="21"/>
          <w:szCs w:val="21"/>
        </w:rPr>
        <w:t>中</w:t>
      </w:r>
      <w:r>
        <w:rPr>
          <w:rFonts w:ascii="宋体" w:hAnsi="宋体"/>
          <w:sz w:val="21"/>
          <w:szCs w:val="21"/>
        </w:rPr>
        <w:t>不另行支付</w:t>
      </w:r>
      <w:r>
        <w:rPr>
          <w:rFonts w:hint="eastAsia" w:ascii="宋体" w:hAnsi="宋体"/>
          <w:sz w:val="21"/>
          <w:szCs w:val="21"/>
        </w:rPr>
        <w:t>。</w:t>
      </w:r>
    </w:p>
    <w:p>
      <w:pPr>
        <w:pStyle w:val="40"/>
        <w:ind w:firstLine="420"/>
        <w:rPr>
          <w:rFonts w:ascii="宋体" w:hAnsi="宋体"/>
          <w:sz w:val="21"/>
          <w:szCs w:val="21"/>
        </w:rPr>
      </w:pPr>
    </w:p>
    <w:p>
      <w:pPr>
        <w:pStyle w:val="52"/>
        <w:adjustRightInd/>
        <w:spacing w:line="360" w:lineRule="auto"/>
        <w:ind w:firstLine="422" w:firstLineChars="200"/>
        <w:rPr>
          <w:rFonts w:hAnsi="宋体" w:eastAsia="宋体"/>
          <w:b/>
          <w:sz w:val="21"/>
          <w:szCs w:val="21"/>
          <w:u w:val="single"/>
        </w:rPr>
      </w:pPr>
    </w:p>
    <w:p>
      <w:pPr>
        <w:pStyle w:val="40"/>
        <w:ind w:firstLine="420"/>
        <w:rPr>
          <w:rFonts w:ascii="宋体" w:hAnsi="宋体"/>
          <w:sz w:val="21"/>
          <w:szCs w:val="21"/>
        </w:rPr>
      </w:pPr>
      <w:r>
        <w:rPr>
          <w:rFonts w:hint="eastAsia" w:ascii="宋体" w:hAnsi="宋体"/>
          <w:sz w:val="21"/>
          <w:szCs w:val="21"/>
        </w:rPr>
        <w:t>供应商：（盖章）</w:t>
      </w:r>
    </w:p>
    <w:p>
      <w:pPr>
        <w:pStyle w:val="40"/>
        <w:ind w:firstLine="420"/>
        <w:rPr>
          <w:rFonts w:ascii="宋体" w:hAnsi="宋体"/>
          <w:sz w:val="21"/>
          <w:szCs w:val="21"/>
        </w:rPr>
      </w:pPr>
      <w:r>
        <w:rPr>
          <w:rFonts w:hint="eastAsia" w:ascii="宋体" w:hAnsi="宋体"/>
          <w:sz w:val="21"/>
          <w:szCs w:val="21"/>
        </w:rPr>
        <w:t>法定代表人或代理人：（签字或盖章）</w:t>
      </w:r>
    </w:p>
    <w:p>
      <w:pPr>
        <w:pStyle w:val="40"/>
        <w:ind w:firstLine="420"/>
        <w:rPr>
          <w:rFonts w:ascii="宋体" w:hAnsi="宋体"/>
          <w:sz w:val="21"/>
          <w:szCs w:val="21"/>
        </w:rPr>
      </w:pPr>
      <w:r>
        <w:rPr>
          <w:rFonts w:hint="eastAsia" w:ascii="宋体" w:hAnsi="宋体"/>
          <w:sz w:val="21"/>
          <w:szCs w:val="21"/>
        </w:rPr>
        <w:t>日期：</w:t>
      </w: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p>
      <w:pPr>
        <w:pStyle w:val="9"/>
        <w:overflowPunct w:val="0"/>
        <w:spacing w:line="360" w:lineRule="auto"/>
        <w:ind w:firstLine="0"/>
        <w:outlineLvl w:val="0"/>
        <w:rPr>
          <w:rFonts w:ascii="宋体" w:hAnsi="宋体"/>
          <w:b/>
          <w:bCs/>
          <w:szCs w:val="21"/>
        </w:rPr>
      </w:pPr>
      <w:r>
        <w:rPr>
          <w:rFonts w:ascii="宋体" w:hAnsi="宋体"/>
          <w:b/>
          <w:szCs w:val="24"/>
        </w:rPr>
        <w:br w:type="page"/>
      </w:r>
      <w:bookmarkStart w:id="87" w:name="_Toc522545748"/>
      <w:r>
        <w:rPr>
          <w:rFonts w:hint="eastAsia" w:ascii="宋体" w:hAnsi="宋体"/>
          <w:b/>
          <w:bCs/>
          <w:szCs w:val="21"/>
        </w:rPr>
        <w:t>附件</w:t>
      </w:r>
      <w:r>
        <w:rPr>
          <w:rFonts w:ascii="宋体" w:hAnsi="宋体"/>
          <w:b/>
          <w:bCs/>
          <w:szCs w:val="21"/>
        </w:rPr>
        <w:t>5</w:t>
      </w:r>
      <w:r>
        <w:rPr>
          <w:rFonts w:hint="eastAsia" w:ascii="宋体" w:hAnsi="宋体"/>
          <w:b/>
          <w:bCs/>
          <w:szCs w:val="21"/>
        </w:rPr>
        <w:t>：</w:t>
      </w:r>
      <w:r>
        <w:rPr>
          <w:rFonts w:ascii="宋体" w:hAnsi="宋体"/>
          <w:b/>
          <w:bCs/>
          <w:szCs w:val="21"/>
        </w:rPr>
        <w:t>关于资格文件的声明函</w:t>
      </w:r>
      <w:bookmarkEnd w:id="87"/>
    </w:p>
    <w:p>
      <w:pPr>
        <w:pStyle w:val="9"/>
        <w:overflowPunct w:val="0"/>
        <w:spacing w:line="360" w:lineRule="auto"/>
        <w:ind w:firstLine="0"/>
        <w:jc w:val="center"/>
        <w:rPr>
          <w:rFonts w:ascii="宋体" w:hAnsi="宋体"/>
          <w:b/>
          <w:szCs w:val="21"/>
        </w:rPr>
      </w:pPr>
    </w:p>
    <w:p>
      <w:pPr>
        <w:pStyle w:val="9"/>
        <w:overflowPunct w:val="0"/>
        <w:spacing w:line="360" w:lineRule="auto"/>
        <w:ind w:firstLine="0"/>
        <w:jc w:val="center"/>
        <w:rPr>
          <w:b/>
          <w:bCs/>
          <w:szCs w:val="21"/>
        </w:rPr>
      </w:pPr>
      <w:r>
        <w:rPr>
          <w:b/>
          <w:bCs/>
          <w:szCs w:val="21"/>
        </w:rPr>
        <w:t>关于资格文件的声明函</w:t>
      </w:r>
    </w:p>
    <w:p>
      <w:pPr>
        <w:pStyle w:val="9"/>
        <w:overflowPunct w:val="0"/>
        <w:spacing w:line="360" w:lineRule="auto"/>
        <w:ind w:firstLine="0"/>
        <w:jc w:val="center"/>
        <w:rPr>
          <w:szCs w:val="21"/>
        </w:rPr>
      </w:pPr>
    </w:p>
    <w:p>
      <w:pPr>
        <w:autoSpaceDE w:val="0"/>
        <w:autoSpaceDN w:val="0"/>
        <w:spacing w:line="360" w:lineRule="auto"/>
        <w:rPr>
          <w:sz w:val="21"/>
          <w:szCs w:val="21"/>
        </w:rPr>
      </w:pPr>
      <w:r>
        <w:rPr>
          <w:sz w:val="21"/>
          <w:szCs w:val="21"/>
          <w:u w:val="single"/>
          <w:lang w:val="zh-CN"/>
        </w:rPr>
        <w:t xml:space="preserve"> </w:t>
      </w:r>
      <w:r>
        <w:rPr>
          <w:rFonts w:hint="eastAsia"/>
          <w:sz w:val="21"/>
          <w:szCs w:val="21"/>
          <w:u w:val="single"/>
          <w:lang w:val="zh-CN"/>
        </w:rPr>
        <w:t>南通港集团建设投资有限公司</w:t>
      </w:r>
      <w:r>
        <w:rPr>
          <w:sz w:val="21"/>
          <w:szCs w:val="21"/>
          <w:u w:val="single"/>
          <w:lang w:val="zh-CN"/>
        </w:rPr>
        <w:t xml:space="preserve"> </w:t>
      </w:r>
      <w:r>
        <w:rPr>
          <w:rFonts w:hAnsi="宋体"/>
          <w:sz w:val="21"/>
          <w:szCs w:val="21"/>
          <w:lang w:val="zh-CN"/>
        </w:rPr>
        <w:t>：</w:t>
      </w:r>
    </w:p>
    <w:p>
      <w:pPr>
        <w:pStyle w:val="9"/>
        <w:overflowPunct w:val="0"/>
        <w:spacing w:line="360" w:lineRule="auto"/>
        <w:ind w:firstLineChars="200"/>
        <w:rPr>
          <w:szCs w:val="21"/>
        </w:rPr>
      </w:pPr>
      <w:r>
        <w:rPr>
          <w:rFonts w:hAnsi="宋体"/>
          <w:szCs w:val="21"/>
          <w:lang w:val="zh-CN"/>
        </w:rPr>
        <w:t>本公司愿就由贵公司组织实施的编号为</w:t>
      </w:r>
      <w:r>
        <w:rPr>
          <w:rFonts w:ascii="宋体" w:hAnsi="宋体"/>
          <w:szCs w:val="21"/>
          <w:u w:val="single"/>
          <w:lang w:val="zh-CN"/>
        </w:rPr>
        <w:t xml:space="preserve"> </w:t>
      </w:r>
      <w:r>
        <w:rPr>
          <w:rFonts w:hint="eastAsia" w:ascii="宋体" w:hAnsi="宋体"/>
          <w:szCs w:val="21"/>
          <w:u w:val="single"/>
        </w:rPr>
        <w:t xml:space="preserve">  </w:t>
      </w:r>
      <w:r>
        <w:rPr>
          <w:rFonts w:ascii="宋体" w:hAnsi="宋体"/>
          <w:szCs w:val="21"/>
          <w:u w:val="single"/>
          <w:lang w:val="zh-CN"/>
        </w:rPr>
        <w:t xml:space="preserve"> </w:t>
      </w:r>
      <w:r>
        <w:rPr>
          <w:rFonts w:hAnsi="宋体"/>
          <w:szCs w:val="21"/>
          <w:lang w:val="zh-CN"/>
        </w:rPr>
        <w:t>号的</w:t>
      </w:r>
      <w:r>
        <w:rPr>
          <w:rFonts w:hint="eastAsia" w:hAnsi="宋体"/>
          <w:szCs w:val="21"/>
          <w:lang w:val="zh-CN"/>
        </w:rPr>
        <w:t>竞争性谈判</w:t>
      </w:r>
      <w:r>
        <w:rPr>
          <w:rFonts w:hAnsi="宋体"/>
          <w:szCs w:val="21"/>
          <w:lang w:val="zh-CN"/>
        </w:rPr>
        <w:t>采购活动进行</w:t>
      </w:r>
      <w:r>
        <w:rPr>
          <w:rFonts w:hint="eastAsia" w:hAnsi="宋体"/>
          <w:szCs w:val="21"/>
          <w:lang w:val="zh-CN"/>
        </w:rPr>
        <w:t>响应</w:t>
      </w:r>
      <w:r>
        <w:rPr>
          <w:rFonts w:hAnsi="宋体"/>
          <w:szCs w:val="21"/>
          <w:lang w:val="zh-CN"/>
        </w:rPr>
        <w:t>。本公司所提交的</w:t>
      </w:r>
      <w:r>
        <w:rPr>
          <w:rFonts w:hint="eastAsia" w:hAnsi="宋体"/>
          <w:szCs w:val="21"/>
          <w:lang w:val="zh-CN"/>
        </w:rPr>
        <w:t>响应</w:t>
      </w:r>
      <w:r>
        <w:rPr>
          <w:rFonts w:hAnsi="宋体"/>
          <w:szCs w:val="21"/>
          <w:lang w:val="zh-CN"/>
        </w:rPr>
        <w:t>文件中所有关于</w:t>
      </w:r>
      <w:r>
        <w:rPr>
          <w:rFonts w:hint="eastAsia" w:hAnsi="宋体"/>
          <w:szCs w:val="21"/>
          <w:lang w:val="zh-CN"/>
        </w:rPr>
        <w:t>谈判</w:t>
      </w:r>
      <w:r>
        <w:rPr>
          <w:rFonts w:hAnsi="宋体"/>
          <w:szCs w:val="21"/>
          <w:lang w:val="zh-CN"/>
        </w:rPr>
        <w:t>资格的文件、证明和陈述均是真实的、准确的。若与真实情况不符，本公司愿意承担由此而产生的一切后果。</w:t>
      </w:r>
    </w:p>
    <w:p>
      <w:pPr>
        <w:pStyle w:val="9"/>
        <w:overflowPunct w:val="0"/>
        <w:spacing w:line="360" w:lineRule="auto"/>
        <w:ind w:firstLineChars="200"/>
        <w:rPr>
          <w:szCs w:val="21"/>
        </w:rPr>
      </w:pPr>
    </w:p>
    <w:p>
      <w:pPr>
        <w:pStyle w:val="9"/>
        <w:overflowPunct w:val="0"/>
        <w:spacing w:line="360" w:lineRule="auto"/>
        <w:ind w:firstLineChars="200"/>
        <w:rPr>
          <w:szCs w:val="21"/>
        </w:rPr>
      </w:pPr>
    </w:p>
    <w:p>
      <w:pPr>
        <w:pStyle w:val="9"/>
        <w:overflowPunct w:val="0"/>
        <w:spacing w:line="360" w:lineRule="auto"/>
        <w:ind w:firstLineChars="200"/>
        <w:rPr>
          <w:szCs w:val="21"/>
        </w:rPr>
      </w:pPr>
    </w:p>
    <w:p>
      <w:pPr>
        <w:pStyle w:val="9"/>
        <w:overflowPunct w:val="0"/>
        <w:spacing w:line="360" w:lineRule="auto"/>
        <w:ind w:firstLineChars="200"/>
        <w:rPr>
          <w:szCs w:val="21"/>
        </w:rPr>
      </w:pPr>
    </w:p>
    <w:p>
      <w:pPr>
        <w:pStyle w:val="9"/>
        <w:overflowPunct w:val="0"/>
        <w:spacing w:line="360" w:lineRule="auto"/>
        <w:ind w:left="2400" w:leftChars="1000" w:firstLineChars="200"/>
        <w:rPr>
          <w:szCs w:val="21"/>
        </w:rPr>
      </w:pPr>
      <w:r>
        <w:rPr>
          <w:rFonts w:hint="eastAsia"/>
          <w:szCs w:val="21"/>
        </w:rPr>
        <w:t>供应商</w:t>
      </w:r>
      <w:r>
        <w:rPr>
          <w:szCs w:val="21"/>
        </w:rPr>
        <w:t>（</w:t>
      </w:r>
      <w:r>
        <w:rPr>
          <w:rFonts w:hint="eastAsia"/>
          <w:szCs w:val="21"/>
        </w:rPr>
        <w:t>盖章</w:t>
      </w:r>
      <w:r>
        <w:rPr>
          <w:szCs w:val="21"/>
        </w:rPr>
        <w:t>）：</w:t>
      </w:r>
    </w:p>
    <w:p>
      <w:pPr>
        <w:pStyle w:val="9"/>
        <w:overflowPunct w:val="0"/>
        <w:spacing w:line="360" w:lineRule="auto"/>
        <w:ind w:left="2400" w:leftChars="1000" w:firstLineChars="200"/>
        <w:rPr>
          <w:szCs w:val="21"/>
        </w:rPr>
      </w:pPr>
    </w:p>
    <w:p>
      <w:pPr>
        <w:pStyle w:val="9"/>
        <w:overflowPunct w:val="0"/>
        <w:spacing w:line="360" w:lineRule="auto"/>
        <w:ind w:left="2400" w:leftChars="1000" w:firstLineChars="200"/>
        <w:rPr>
          <w:szCs w:val="21"/>
        </w:rPr>
      </w:pPr>
      <w:r>
        <w:rPr>
          <w:rFonts w:hint="eastAsia"/>
          <w:szCs w:val="21"/>
        </w:rPr>
        <w:t>供应商</w:t>
      </w:r>
      <w:r>
        <w:rPr>
          <w:szCs w:val="21"/>
        </w:rPr>
        <w:t>法定代表或其授权人：（签字或</w:t>
      </w:r>
      <w:r>
        <w:rPr>
          <w:rFonts w:hint="eastAsia"/>
          <w:szCs w:val="21"/>
        </w:rPr>
        <w:t>盖章</w:t>
      </w:r>
      <w:r>
        <w:rPr>
          <w:szCs w:val="21"/>
        </w:rPr>
        <w:t>）：</w:t>
      </w:r>
    </w:p>
    <w:p>
      <w:pPr>
        <w:pStyle w:val="9"/>
        <w:overflowPunct w:val="0"/>
        <w:spacing w:line="360" w:lineRule="auto"/>
        <w:ind w:left="2400" w:leftChars="1000" w:firstLineChars="200"/>
        <w:rPr>
          <w:szCs w:val="21"/>
        </w:rPr>
      </w:pPr>
    </w:p>
    <w:p>
      <w:pPr>
        <w:pStyle w:val="9"/>
        <w:overflowPunct w:val="0"/>
        <w:spacing w:line="360" w:lineRule="auto"/>
        <w:ind w:left="2400" w:leftChars="1000" w:firstLineChars="200"/>
        <w:rPr>
          <w:szCs w:val="21"/>
        </w:rPr>
      </w:pPr>
      <w:r>
        <w:rPr>
          <w:rFonts w:hint="eastAsia"/>
          <w:szCs w:val="21"/>
        </w:rPr>
        <w:t>日期</w:t>
      </w:r>
      <w:r>
        <w:rPr>
          <w:szCs w:val="21"/>
        </w:rPr>
        <w:t>：</w:t>
      </w:r>
      <w:r>
        <w:rPr>
          <w:rFonts w:hint="eastAsia"/>
          <w:szCs w:val="21"/>
        </w:rPr>
        <w:t xml:space="preserve">      </w:t>
      </w:r>
      <w:r>
        <w:rPr>
          <w:szCs w:val="21"/>
        </w:rPr>
        <w:t>年    月    日</w:t>
      </w:r>
    </w:p>
    <w:p>
      <w:pPr>
        <w:spacing w:line="360" w:lineRule="auto"/>
        <w:jc w:val="both"/>
        <w:outlineLvl w:val="0"/>
        <w:rPr>
          <w:rFonts w:ascii="宋体" w:hAnsi="宋体"/>
          <w:b/>
          <w:sz w:val="21"/>
        </w:rPr>
      </w:pPr>
      <w:r>
        <w:rPr>
          <w:rFonts w:ascii="宋体" w:hAnsi="宋体"/>
          <w:b/>
          <w:szCs w:val="21"/>
        </w:rPr>
        <w:br w:type="page"/>
      </w:r>
      <w:bookmarkStart w:id="88" w:name="_Toc522545749"/>
      <w:r>
        <w:rPr>
          <w:rFonts w:ascii="宋体" w:hAnsi="宋体"/>
          <w:b/>
          <w:sz w:val="21"/>
        </w:rPr>
        <w:t>附件6：</w:t>
      </w:r>
      <w:r>
        <w:rPr>
          <w:rFonts w:hint="eastAsia" w:ascii="宋体" w:hAnsi="宋体"/>
          <w:b/>
          <w:sz w:val="21"/>
        </w:rPr>
        <w:t>供应商</w:t>
      </w:r>
      <w:r>
        <w:rPr>
          <w:rFonts w:ascii="宋体" w:hAnsi="宋体"/>
          <w:b/>
          <w:sz w:val="21"/>
        </w:rPr>
        <w:t>情况表</w:t>
      </w:r>
      <w:bookmarkEnd w:id="88"/>
    </w:p>
    <w:p>
      <w:pPr>
        <w:spacing w:line="360" w:lineRule="auto"/>
        <w:jc w:val="center"/>
        <w:rPr>
          <w:b/>
          <w:bCs/>
          <w:sz w:val="21"/>
          <w:szCs w:val="21"/>
        </w:rPr>
      </w:pPr>
    </w:p>
    <w:p>
      <w:pPr>
        <w:spacing w:line="360" w:lineRule="auto"/>
        <w:jc w:val="center"/>
        <w:rPr>
          <w:b/>
          <w:bCs/>
          <w:sz w:val="21"/>
          <w:szCs w:val="21"/>
        </w:rPr>
      </w:pPr>
      <w:r>
        <w:rPr>
          <w:rFonts w:hint="eastAsia"/>
          <w:b/>
          <w:bCs/>
          <w:sz w:val="21"/>
          <w:szCs w:val="21"/>
        </w:rPr>
        <w:t>供应商</w:t>
      </w:r>
      <w:r>
        <w:rPr>
          <w:b/>
          <w:bCs/>
          <w:sz w:val="21"/>
          <w:szCs w:val="21"/>
        </w:rPr>
        <w:t>情况表</w:t>
      </w:r>
    </w:p>
    <w:p>
      <w:pPr>
        <w:spacing w:line="360" w:lineRule="auto"/>
        <w:jc w:val="center"/>
        <w:rPr>
          <w:b/>
          <w:bCs/>
          <w:sz w:val="21"/>
          <w:szCs w:val="21"/>
        </w:rPr>
      </w:pPr>
    </w:p>
    <w:p>
      <w:pPr>
        <w:spacing w:line="360" w:lineRule="auto"/>
        <w:jc w:val="both"/>
        <w:rPr>
          <w:sz w:val="21"/>
          <w:szCs w:val="21"/>
        </w:rPr>
      </w:pPr>
      <w:r>
        <w:rPr>
          <w:rFonts w:hAnsi="宋体"/>
          <w:sz w:val="21"/>
          <w:szCs w:val="21"/>
        </w:rPr>
        <w:t>单位名称（盖章）：</w:t>
      </w:r>
    </w:p>
    <w:tbl>
      <w:tblPr>
        <w:tblStyle w:val="29"/>
        <w:tblW w:w="991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45"/>
        <w:gridCol w:w="1843"/>
        <w:gridCol w:w="1829"/>
        <w:gridCol w:w="723"/>
        <w:gridCol w:w="1701"/>
        <w:gridCol w:w="850"/>
        <w:gridCol w:w="23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1</w:t>
            </w:r>
          </w:p>
        </w:tc>
        <w:tc>
          <w:tcPr>
            <w:tcW w:w="1843"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法定代表人</w:t>
            </w:r>
          </w:p>
        </w:tc>
        <w:tc>
          <w:tcPr>
            <w:tcW w:w="2552" w:type="dxa"/>
            <w:gridSpan w:val="2"/>
            <w:tcBorders>
              <w:left w:val="single" w:color="auto" w:sz="4" w:space="0"/>
            </w:tcBorders>
            <w:vAlign w:val="center"/>
          </w:tcPr>
          <w:p>
            <w:pPr>
              <w:pStyle w:val="9"/>
              <w:overflowPunct w:val="0"/>
              <w:spacing w:beforeLines="50" w:afterLines="50"/>
              <w:ind w:firstLine="0"/>
              <w:rPr>
                <w:rFonts w:ascii="宋体" w:hAnsi="宋体"/>
                <w:szCs w:val="21"/>
              </w:rPr>
            </w:pPr>
          </w:p>
        </w:tc>
        <w:tc>
          <w:tcPr>
            <w:tcW w:w="1701" w:type="dxa"/>
            <w:vAlign w:val="center"/>
          </w:tcPr>
          <w:p>
            <w:pPr>
              <w:pStyle w:val="9"/>
              <w:overflowPunct w:val="0"/>
              <w:spacing w:beforeLines="50" w:afterLines="50"/>
              <w:ind w:firstLine="0"/>
              <w:rPr>
                <w:rFonts w:ascii="宋体" w:hAnsi="宋体"/>
                <w:szCs w:val="21"/>
              </w:rPr>
            </w:pPr>
            <w:r>
              <w:rPr>
                <w:rFonts w:ascii="宋体" w:hAnsi="宋体"/>
                <w:szCs w:val="21"/>
              </w:rPr>
              <w:t>公司成立日期</w:t>
            </w:r>
          </w:p>
        </w:tc>
        <w:tc>
          <w:tcPr>
            <w:tcW w:w="3169" w:type="dxa"/>
            <w:gridSpan w:val="2"/>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2</w:t>
            </w:r>
          </w:p>
        </w:tc>
        <w:tc>
          <w:tcPr>
            <w:tcW w:w="1843"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总部地址</w:t>
            </w:r>
          </w:p>
        </w:tc>
        <w:tc>
          <w:tcPr>
            <w:tcW w:w="7422" w:type="dxa"/>
            <w:gridSpan w:val="5"/>
            <w:tcBorders>
              <w:left w:val="single" w:color="auto" w:sz="4" w:space="0"/>
            </w:tcBorders>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3</w:t>
            </w:r>
          </w:p>
        </w:tc>
        <w:tc>
          <w:tcPr>
            <w:tcW w:w="1843"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本地代表处地址</w:t>
            </w:r>
          </w:p>
        </w:tc>
        <w:tc>
          <w:tcPr>
            <w:tcW w:w="7422" w:type="dxa"/>
            <w:gridSpan w:val="5"/>
            <w:tcBorders>
              <w:left w:val="single" w:color="auto" w:sz="4" w:space="0"/>
            </w:tcBorders>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4</w:t>
            </w:r>
          </w:p>
        </w:tc>
        <w:tc>
          <w:tcPr>
            <w:tcW w:w="1843"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电话</w:t>
            </w:r>
          </w:p>
        </w:tc>
        <w:tc>
          <w:tcPr>
            <w:tcW w:w="2552" w:type="dxa"/>
            <w:gridSpan w:val="2"/>
            <w:tcBorders>
              <w:left w:val="single" w:color="auto" w:sz="4" w:space="0"/>
            </w:tcBorders>
            <w:vAlign w:val="center"/>
          </w:tcPr>
          <w:p>
            <w:pPr>
              <w:pStyle w:val="9"/>
              <w:overflowPunct w:val="0"/>
              <w:spacing w:beforeLines="50" w:afterLines="50"/>
              <w:ind w:firstLine="0"/>
              <w:rPr>
                <w:rFonts w:ascii="宋体" w:hAnsi="宋体"/>
                <w:szCs w:val="21"/>
              </w:rPr>
            </w:pPr>
          </w:p>
        </w:tc>
        <w:tc>
          <w:tcPr>
            <w:tcW w:w="1701"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联系人</w:t>
            </w:r>
          </w:p>
        </w:tc>
        <w:tc>
          <w:tcPr>
            <w:tcW w:w="3169" w:type="dxa"/>
            <w:gridSpan w:val="2"/>
            <w:tcBorders>
              <w:left w:val="single" w:color="auto" w:sz="4" w:space="0"/>
            </w:tcBorders>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5</w:t>
            </w:r>
          </w:p>
        </w:tc>
        <w:tc>
          <w:tcPr>
            <w:tcW w:w="1843"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传真</w:t>
            </w:r>
          </w:p>
        </w:tc>
        <w:tc>
          <w:tcPr>
            <w:tcW w:w="2552" w:type="dxa"/>
            <w:gridSpan w:val="2"/>
            <w:tcBorders>
              <w:left w:val="single" w:color="auto" w:sz="4" w:space="0"/>
            </w:tcBorders>
            <w:vAlign w:val="center"/>
          </w:tcPr>
          <w:p>
            <w:pPr>
              <w:pStyle w:val="9"/>
              <w:overflowPunct w:val="0"/>
              <w:spacing w:beforeLines="50" w:afterLines="50"/>
              <w:ind w:firstLine="0"/>
              <w:rPr>
                <w:rFonts w:ascii="宋体" w:hAnsi="宋体"/>
                <w:szCs w:val="21"/>
              </w:rPr>
            </w:pPr>
          </w:p>
        </w:tc>
        <w:tc>
          <w:tcPr>
            <w:tcW w:w="1701"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电子邮箱</w:t>
            </w:r>
          </w:p>
        </w:tc>
        <w:tc>
          <w:tcPr>
            <w:tcW w:w="3169" w:type="dxa"/>
            <w:gridSpan w:val="2"/>
            <w:tcBorders>
              <w:left w:val="single" w:color="auto" w:sz="4" w:space="0"/>
            </w:tcBorders>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6</w:t>
            </w:r>
          </w:p>
        </w:tc>
        <w:tc>
          <w:tcPr>
            <w:tcW w:w="1843"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注册地</w:t>
            </w:r>
          </w:p>
        </w:tc>
        <w:tc>
          <w:tcPr>
            <w:tcW w:w="2552" w:type="dxa"/>
            <w:gridSpan w:val="2"/>
            <w:tcBorders>
              <w:left w:val="single" w:color="auto" w:sz="4" w:space="0"/>
            </w:tcBorders>
            <w:vAlign w:val="center"/>
          </w:tcPr>
          <w:p>
            <w:pPr>
              <w:pStyle w:val="9"/>
              <w:overflowPunct w:val="0"/>
              <w:spacing w:beforeLines="50" w:afterLines="50"/>
              <w:ind w:firstLine="0"/>
              <w:rPr>
                <w:rFonts w:ascii="宋体" w:hAnsi="宋体"/>
                <w:szCs w:val="21"/>
              </w:rPr>
            </w:pPr>
          </w:p>
        </w:tc>
        <w:tc>
          <w:tcPr>
            <w:tcW w:w="1701"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注册年份</w:t>
            </w:r>
          </w:p>
        </w:tc>
        <w:tc>
          <w:tcPr>
            <w:tcW w:w="3169" w:type="dxa"/>
            <w:gridSpan w:val="2"/>
            <w:tcBorders>
              <w:left w:val="single" w:color="auto" w:sz="4" w:space="0"/>
            </w:tcBorders>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7</w:t>
            </w:r>
          </w:p>
        </w:tc>
        <w:tc>
          <w:tcPr>
            <w:tcW w:w="1843" w:type="dxa"/>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单位职工人数</w:t>
            </w:r>
          </w:p>
        </w:tc>
        <w:tc>
          <w:tcPr>
            <w:tcW w:w="2552" w:type="dxa"/>
            <w:gridSpan w:val="2"/>
            <w:tcBorders>
              <w:left w:val="single" w:color="auto" w:sz="4" w:space="0"/>
            </w:tcBorders>
            <w:vAlign w:val="center"/>
          </w:tcPr>
          <w:p>
            <w:pPr>
              <w:pStyle w:val="9"/>
              <w:overflowPunct w:val="0"/>
              <w:spacing w:beforeLines="50" w:afterLines="50"/>
              <w:ind w:firstLine="0"/>
              <w:jc w:val="right"/>
              <w:rPr>
                <w:rFonts w:ascii="宋体" w:hAnsi="宋体"/>
                <w:szCs w:val="21"/>
              </w:rPr>
            </w:pPr>
            <w:r>
              <w:rPr>
                <w:rFonts w:ascii="宋体" w:hAnsi="宋体"/>
                <w:szCs w:val="21"/>
              </w:rPr>
              <w:t>人</w:t>
            </w:r>
          </w:p>
        </w:tc>
        <w:tc>
          <w:tcPr>
            <w:tcW w:w="2551" w:type="dxa"/>
            <w:gridSpan w:val="2"/>
            <w:tcBorders>
              <w:right w:val="single" w:color="auto" w:sz="4" w:space="0"/>
            </w:tcBorders>
            <w:vAlign w:val="center"/>
          </w:tcPr>
          <w:p>
            <w:pPr>
              <w:pStyle w:val="9"/>
              <w:overflowPunct w:val="0"/>
              <w:spacing w:beforeLines="50" w:afterLines="50"/>
              <w:ind w:firstLine="0"/>
              <w:rPr>
                <w:rFonts w:ascii="宋体" w:hAnsi="宋体"/>
                <w:szCs w:val="21"/>
              </w:rPr>
            </w:pPr>
            <w:r>
              <w:rPr>
                <w:rFonts w:ascii="宋体" w:hAnsi="宋体"/>
                <w:szCs w:val="21"/>
              </w:rPr>
              <w:t>单位20</w:t>
            </w:r>
            <w:r>
              <w:rPr>
                <w:rFonts w:hint="eastAsia" w:ascii="宋体" w:hAnsi="宋体"/>
                <w:szCs w:val="21"/>
              </w:rPr>
              <w:t>17</w:t>
            </w:r>
            <w:r>
              <w:rPr>
                <w:rFonts w:ascii="宋体" w:hAnsi="宋体"/>
                <w:szCs w:val="21"/>
              </w:rPr>
              <w:t>年总营业收入</w:t>
            </w:r>
          </w:p>
        </w:tc>
        <w:tc>
          <w:tcPr>
            <w:tcW w:w="2319" w:type="dxa"/>
            <w:tcBorders>
              <w:left w:val="single" w:color="auto" w:sz="4" w:space="0"/>
            </w:tcBorders>
            <w:vAlign w:val="center"/>
          </w:tcPr>
          <w:p>
            <w:pPr>
              <w:pStyle w:val="9"/>
              <w:overflowPunct w:val="0"/>
              <w:spacing w:beforeLines="50" w:afterLines="50"/>
              <w:ind w:firstLine="0"/>
              <w:jc w:val="right"/>
              <w:rPr>
                <w:rFonts w:ascii="宋体" w:hAnsi="宋体"/>
                <w:szCs w:val="21"/>
              </w:rPr>
            </w:pPr>
            <w:r>
              <w:rPr>
                <w:rFonts w:ascii="宋体" w:hAnsi="宋体"/>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8</w:t>
            </w:r>
          </w:p>
        </w:tc>
        <w:tc>
          <w:tcPr>
            <w:tcW w:w="9265" w:type="dxa"/>
            <w:gridSpan w:val="6"/>
            <w:vAlign w:val="center"/>
          </w:tcPr>
          <w:p>
            <w:pPr>
              <w:pStyle w:val="9"/>
              <w:overflowPunct w:val="0"/>
              <w:spacing w:beforeLines="50" w:afterLines="50"/>
              <w:ind w:firstLine="0"/>
              <w:rPr>
                <w:rFonts w:ascii="宋体" w:hAnsi="宋体"/>
                <w:szCs w:val="21"/>
              </w:rPr>
            </w:pPr>
            <w:r>
              <w:rPr>
                <w:rFonts w:ascii="宋体" w:hAnsi="宋体"/>
                <w:szCs w:val="21"/>
              </w:rPr>
              <w:t>办公场所的面积：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9</w:t>
            </w:r>
          </w:p>
        </w:tc>
        <w:tc>
          <w:tcPr>
            <w:tcW w:w="9265" w:type="dxa"/>
            <w:gridSpan w:val="6"/>
            <w:vAlign w:val="center"/>
          </w:tcPr>
          <w:p>
            <w:pPr>
              <w:pStyle w:val="9"/>
              <w:overflowPunct w:val="0"/>
              <w:spacing w:beforeLines="50" w:afterLines="50"/>
              <w:ind w:firstLine="0"/>
              <w:rPr>
                <w:rFonts w:ascii="宋体" w:hAnsi="宋体"/>
                <w:szCs w:val="21"/>
              </w:rPr>
            </w:pPr>
            <w:r>
              <w:rPr>
                <w:rFonts w:ascii="宋体" w:hAnsi="宋体"/>
                <w:szCs w:val="21"/>
              </w:rPr>
              <w:t>主营范围</w:t>
            </w:r>
          </w:p>
          <w:p>
            <w:pPr>
              <w:pStyle w:val="9"/>
              <w:overflowPunct w:val="0"/>
              <w:spacing w:beforeLines="50" w:afterLines="50"/>
              <w:ind w:firstLine="0"/>
              <w:rPr>
                <w:rFonts w:ascii="宋体" w:hAnsi="宋体"/>
                <w:szCs w:val="21"/>
              </w:rPr>
            </w:pPr>
            <w:r>
              <w:rPr>
                <w:rFonts w:ascii="宋体" w:hAnsi="宋体"/>
                <w:szCs w:val="21"/>
              </w:rPr>
              <w:t>1、_____________________________________</w:t>
            </w:r>
          </w:p>
          <w:p>
            <w:pPr>
              <w:pStyle w:val="9"/>
              <w:overflowPunct w:val="0"/>
              <w:spacing w:beforeLines="50" w:afterLines="50"/>
              <w:ind w:firstLine="0"/>
              <w:rPr>
                <w:rFonts w:ascii="宋体" w:hAnsi="宋体"/>
                <w:szCs w:val="21"/>
              </w:rPr>
            </w:pPr>
            <w:r>
              <w:rPr>
                <w:rFonts w:ascii="宋体" w:hAnsi="宋体"/>
                <w:szCs w:val="21"/>
              </w:rPr>
              <w:t>2、_____________________________________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10</w:t>
            </w:r>
          </w:p>
        </w:tc>
        <w:tc>
          <w:tcPr>
            <w:tcW w:w="3672" w:type="dxa"/>
            <w:gridSpan w:val="2"/>
            <w:vAlign w:val="center"/>
          </w:tcPr>
          <w:p>
            <w:pPr>
              <w:pStyle w:val="9"/>
              <w:overflowPunct w:val="0"/>
              <w:spacing w:beforeLines="50" w:afterLines="50"/>
              <w:ind w:firstLine="0"/>
              <w:rPr>
                <w:rFonts w:ascii="宋体" w:hAnsi="宋体"/>
                <w:szCs w:val="21"/>
              </w:rPr>
            </w:pPr>
            <w:r>
              <w:rPr>
                <w:rFonts w:ascii="宋体" w:hAnsi="宋体"/>
                <w:szCs w:val="21"/>
              </w:rPr>
              <w:t>最近2年内在经营过程中受到何种奖励或处分</w:t>
            </w:r>
          </w:p>
        </w:tc>
        <w:tc>
          <w:tcPr>
            <w:tcW w:w="5593" w:type="dxa"/>
            <w:gridSpan w:val="4"/>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11</w:t>
            </w:r>
          </w:p>
        </w:tc>
        <w:tc>
          <w:tcPr>
            <w:tcW w:w="3672" w:type="dxa"/>
            <w:gridSpan w:val="2"/>
            <w:vAlign w:val="center"/>
          </w:tcPr>
          <w:p>
            <w:pPr>
              <w:pStyle w:val="9"/>
              <w:overflowPunct w:val="0"/>
              <w:spacing w:beforeLines="50" w:afterLines="50"/>
              <w:ind w:firstLine="0"/>
              <w:rPr>
                <w:rFonts w:ascii="宋体" w:hAnsi="宋体"/>
                <w:szCs w:val="21"/>
              </w:rPr>
            </w:pPr>
            <w:r>
              <w:rPr>
                <w:rFonts w:ascii="宋体" w:hAnsi="宋体"/>
                <w:szCs w:val="21"/>
              </w:rPr>
              <w:t>最近3年内有无因售假、售劣或是其他原因被消费者投诉或起诉的情况及说明</w:t>
            </w:r>
          </w:p>
        </w:tc>
        <w:tc>
          <w:tcPr>
            <w:tcW w:w="5593" w:type="dxa"/>
            <w:gridSpan w:val="4"/>
            <w:vAlign w:val="center"/>
          </w:tcPr>
          <w:p>
            <w:pPr>
              <w:pStyle w:val="9"/>
              <w:overflowPunct w:val="0"/>
              <w:spacing w:beforeLines="50" w:afterLines="50"/>
              <w:ind w:firstLine="0"/>
              <w:rPr>
                <w:rFonts w:ascii="宋体" w:hAns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645" w:type="dxa"/>
            <w:vAlign w:val="center"/>
          </w:tcPr>
          <w:p>
            <w:pPr>
              <w:pStyle w:val="9"/>
              <w:overflowPunct w:val="0"/>
              <w:spacing w:beforeLines="50" w:afterLines="50"/>
              <w:ind w:firstLine="0"/>
              <w:jc w:val="center"/>
              <w:rPr>
                <w:rFonts w:ascii="宋体" w:hAnsi="宋体"/>
                <w:szCs w:val="21"/>
              </w:rPr>
            </w:pPr>
            <w:r>
              <w:rPr>
                <w:rFonts w:ascii="宋体" w:hAnsi="宋体"/>
                <w:szCs w:val="21"/>
              </w:rPr>
              <w:t>12</w:t>
            </w:r>
          </w:p>
        </w:tc>
        <w:tc>
          <w:tcPr>
            <w:tcW w:w="9265" w:type="dxa"/>
            <w:gridSpan w:val="6"/>
            <w:vAlign w:val="center"/>
          </w:tcPr>
          <w:p>
            <w:pPr>
              <w:pStyle w:val="9"/>
              <w:overflowPunct w:val="0"/>
              <w:spacing w:beforeLines="50" w:afterLines="50"/>
              <w:ind w:firstLine="0"/>
              <w:rPr>
                <w:rFonts w:ascii="宋体" w:hAnsi="宋体"/>
                <w:szCs w:val="21"/>
              </w:rPr>
            </w:pPr>
            <w:r>
              <w:rPr>
                <w:rFonts w:ascii="宋体" w:hAnsi="宋体"/>
                <w:szCs w:val="21"/>
              </w:rPr>
              <w:t>其他需要说明的情况</w:t>
            </w:r>
          </w:p>
        </w:tc>
      </w:tr>
    </w:tbl>
    <w:p>
      <w:pPr>
        <w:pStyle w:val="9"/>
        <w:overflowPunct w:val="0"/>
        <w:spacing w:line="360" w:lineRule="auto"/>
        <w:ind w:firstLine="0"/>
        <w:outlineLvl w:val="0"/>
        <w:rPr>
          <w:rFonts w:ascii="宋体" w:hAnsi="宋体"/>
          <w:b/>
          <w:bCs/>
          <w:szCs w:val="21"/>
        </w:rPr>
      </w:pPr>
      <w:r>
        <w:rPr>
          <w:rFonts w:ascii="宋体" w:hAnsi="宋体"/>
          <w:b/>
        </w:rPr>
        <w:br w:type="page"/>
      </w:r>
      <w:bookmarkStart w:id="89" w:name="_Toc522545750"/>
      <w:r>
        <w:rPr>
          <w:rFonts w:hint="eastAsia" w:ascii="宋体" w:hAnsi="宋体"/>
          <w:b/>
          <w:szCs w:val="21"/>
        </w:rPr>
        <w:t>附件</w:t>
      </w:r>
      <w:r>
        <w:rPr>
          <w:rFonts w:ascii="宋体" w:hAnsi="宋体"/>
          <w:b/>
          <w:szCs w:val="21"/>
        </w:rPr>
        <w:t>7</w:t>
      </w:r>
      <w:r>
        <w:rPr>
          <w:rFonts w:hint="eastAsia" w:ascii="宋体" w:hAnsi="宋体"/>
          <w:b/>
          <w:szCs w:val="21"/>
        </w:rPr>
        <w:t>：</w:t>
      </w:r>
      <w:r>
        <w:rPr>
          <w:rFonts w:hint="eastAsia" w:ascii="宋体" w:hAnsi="宋体"/>
          <w:b/>
          <w:bCs/>
          <w:szCs w:val="21"/>
        </w:rPr>
        <w:t>供应商与其他单位存在控股、管理关系情况表</w:t>
      </w:r>
      <w:bookmarkEnd w:id="89"/>
    </w:p>
    <w:p>
      <w:pPr>
        <w:spacing w:line="360" w:lineRule="auto"/>
        <w:jc w:val="center"/>
        <w:rPr>
          <w:rFonts w:ascii="宋体" w:hAnsi="宋体"/>
          <w:b/>
          <w:sz w:val="21"/>
          <w:szCs w:val="21"/>
        </w:rPr>
      </w:pPr>
    </w:p>
    <w:p>
      <w:pPr>
        <w:spacing w:line="360" w:lineRule="auto"/>
        <w:jc w:val="center"/>
        <w:rPr>
          <w:rFonts w:ascii="宋体" w:hAnsi="宋体"/>
          <w:b/>
          <w:sz w:val="21"/>
          <w:szCs w:val="21"/>
        </w:rPr>
      </w:pPr>
      <w:r>
        <w:rPr>
          <w:rFonts w:hint="eastAsia" w:ascii="宋体" w:hAnsi="宋体"/>
          <w:b/>
          <w:sz w:val="21"/>
          <w:szCs w:val="21"/>
        </w:rPr>
        <w:t>供应商与其他单位存在控股、管理关系情况表</w:t>
      </w:r>
    </w:p>
    <w:p>
      <w:pPr>
        <w:spacing w:line="360" w:lineRule="auto"/>
        <w:jc w:val="center"/>
        <w:rPr>
          <w:rFonts w:ascii="宋体" w:hAnsi="宋体"/>
          <w:b/>
          <w:sz w:val="21"/>
          <w:szCs w:val="21"/>
        </w:rPr>
      </w:pPr>
    </w:p>
    <w:tbl>
      <w:tblPr>
        <w:tblStyle w:val="29"/>
        <w:tblW w:w="960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1"/>
        <w:gridCol w:w="4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4671" w:type="dxa"/>
            <w:vAlign w:val="center"/>
          </w:tcPr>
          <w:p>
            <w:pPr>
              <w:jc w:val="center"/>
              <w:rPr>
                <w:rFonts w:ascii="宋体" w:hAnsi="宋体"/>
                <w:b/>
                <w:sz w:val="21"/>
                <w:szCs w:val="21"/>
              </w:rPr>
            </w:pPr>
            <w:r>
              <w:rPr>
                <w:rFonts w:hint="eastAsia" w:ascii="宋体" w:hAnsi="宋体"/>
                <w:b/>
                <w:sz w:val="21"/>
                <w:szCs w:val="21"/>
              </w:rPr>
              <w:t>与供应商存在控股、管理关系的单位名称</w:t>
            </w:r>
          </w:p>
        </w:tc>
        <w:tc>
          <w:tcPr>
            <w:tcW w:w="4935" w:type="dxa"/>
            <w:vAlign w:val="center"/>
          </w:tcPr>
          <w:p>
            <w:pPr>
              <w:jc w:val="center"/>
              <w:rPr>
                <w:rFonts w:ascii="宋体" w:hAnsi="宋体"/>
                <w:b/>
                <w:sz w:val="21"/>
                <w:szCs w:val="21"/>
              </w:rPr>
            </w:pPr>
            <w:r>
              <w:rPr>
                <w:rFonts w:hint="eastAsia" w:ascii="宋体" w:hAnsi="宋体"/>
                <w:b/>
                <w:sz w:val="21"/>
                <w:szCs w:val="21"/>
              </w:rPr>
              <w:t>控股、管理关系情况说明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4671" w:type="dxa"/>
            <w:vAlign w:val="center"/>
          </w:tcPr>
          <w:p>
            <w:pPr>
              <w:jc w:val="center"/>
              <w:rPr>
                <w:rFonts w:ascii="宋体" w:hAnsi="宋体"/>
                <w:b/>
                <w:sz w:val="21"/>
                <w:szCs w:val="21"/>
              </w:rPr>
            </w:pPr>
          </w:p>
        </w:tc>
        <w:tc>
          <w:tcPr>
            <w:tcW w:w="4935" w:type="dxa"/>
            <w:vAlign w:val="center"/>
          </w:tcPr>
          <w:p>
            <w:pPr>
              <w:jc w:val="center"/>
              <w:rPr>
                <w:rFonts w:ascii="宋体" w:hAnsi="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4671" w:type="dxa"/>
            <w:vAlign w:val="center"/>
          </w:tcPr>
          <w:p>
            <w:pPr>
              <w:jc w:val="center"/>
              <w:rPr>
                <w:rFonts w:ascii="宋体" w:hAnsi="宋体"/>
                <w:b/>
                <w:sz w:val="21"/>
                <w:szCs w:val="21"/>
              </w:rPr>
            </w:pPr>
          </w:p>
        </w:tc>
        <w:tc>
          <w:tcPr>
            <w:tcW w:w="4935" w:type="dxa"/>
            <w:vAlign w:val="center"/>
          </w:tcPr>
          <w:p>
            <w:pPr>
              <w:jc w:val="center"/>
              <w:rPr>
                <w:rFonts w:ascii="宋体" w:hAnsi="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4671" w:type="dxa"/>
            <w:vAlign w:val="center"/>
          </w:tcPr>
          <w:p>
            <w:pPr>
              <w:jc w:val="center"/>
              <w:rPr>
                <w:rFonts w:ascii="宋体" w:hAnsi="宋体"/>
                <w:b/>
                <w:sz w:val="21"/>
                <w:szCs w:val="21"/>
              </w:rPr>
            </w:pPr>
          </w:p>
        </w:tc>
        <w:tc>
          <w:tcPr>
            <w:tcW w:w="4935" w:type="dxa"/>
            <w:vAlign w:val="center"/>
          </w:tcPr>
          <w:p>
            <w:pPr>
              <w:jc w:val="center"/>
              <w:rPr>
                <w:rFonts w:ascii="宋体" w:hAnsi="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4671" w:type="dxa"/>
            <w:vAlign w:val="center"/>
          </w:tcPr>
          <w:p>
            <w:pPr>
              <w:jc w:val="center"/>
              <w:rPr>
                <w:rFonts w:ascii="宋体" w:hAnsi="宋体"/>
                <w:b/>
                <w:sz w:val="21"/>
                <w:szCs w:val="21"/>
              </w:rPr>
            </w:pPr>
          </w:p>
        </w:tc>
        <w:tc>
          <w:tcPr>
            <w:tcW w:w="4935" w:type="dxa"/>
            <w:vAlign w:val="center"/>
          </w:tcPr>
          <w:p>
            <w:pPr>
              <w:jc w:val="center"/>
              <w:rPr>
                <w:rFonts w:ascii="宋体" w:hAnsi="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4671" w:type="dxa"/>
            <w:vAlign w:val="center"/>
          </w:tcPr>
          <w:p>
            <w:pPr>
              <w:jc w:val="center"/>
              <w:rPr>
                <w:rFonts w:ascii="宋体" w:hAnsi="宋体"/>
                <w:b/>
                <w:sz w:val="21"/>
                <w:szCs w:val="21"/>
              </w:rPr>
            </w:pPr>
          </w:p>
        </w:tc>
        <w:tc>
          <w:tcPr>
            <w:tcW w:w="4935" w:type="dxa"/>
            <w:vAlign w:val="center"/>
          </w:tcPr>
          <w:p>
            <w:pPr>
              <w:jc w:val="center"/>
              <w:rPr>
                <w:rFonts w:ascii="宋体" w:hAnsi="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4671" w:type="dxa"/>
            <w:vAlign w:val="center"/>
          </w:tcPr>
          <w:p>
            <w:pPr>
              <w:jc w:val="center"/>
              <w:rPr>
                <w:rFonts w:ascii="宋体" w:hAnsi="宋体"/>
                <w:b/>
                <w:sz w:val="21"/>
                <w:szCs w:val="21"/>
              </w:rPr>
            </w:pPr>
          </w:p>
        </w:tc>
        <w:tc>
          <w:tcPr>
            <w:tcW w:w="4935" w:type="dxa"/>
            <w:vAlign w:val="center"/>
          </w:tcPr>
          <w:p>
            <w:pPr>
              <w:jc w:val="center"/>
              <w:rPr>
                <w:rFonts w:ascii="宋体" w:hAnsi="宋体"/>
                <w:b/>
                <w:sz w:val="21"/>
                <w:szCs w:val="21"/>
              </w:rPr>
            </w:pPr>
          </w:p>
        </w:tc>
      </w:tr>
    </w:tbl>
    <w:p>
      <w:pPr>
        <w:spacing w:line="360" w:lineRule="auto"/>
        <w:rPr>
          <w:rFonts w:ascii="宋体" w:hAnsi="宋体"/>
          <w:b/>
          <w:sz w:val="21"/>
          <w:szCs w:val="21"/>
        </w:rPr>
      </w:pPr>
      <w:r>
        <w:rPr>
          <w:rFonts w:hint="eastAsia" w:ascii="宋体" w:hAnsi="宋体"/>
          <w:b/>
          <w:sz w:val="21"/>
          <w:szCs w:val="21"/>
        </w:rPr>
        <w:t>注：供应商须如实填写所有与之有控股、管理关系的情况。</w:t>
      </w:r>
    </w:p>
    <w:p>
      <w:pPr>
        <w:spacing w:line="360" w:lineRule="auto"/>
        <w:rPr>
          <w:rFonts w:ascii="宋体" w:hAnsi="宋体"/>
          <w:b/>
          <w:sz w:val="21"/>
          <w:szCs w:val="21"/>
        </w:rPr>
      </w:pPr>
    </w:p>
    <w:p>
      <w:pPr>
        <w:spacing w:line="360" w:lineRule="auto"/>
        <w:rPr>
          <w:rFonts w:ascii="宋体" w:hAnsi="宋体"/>
          <w:b/>
          <w:sz w:val="21"/>
          <w:szCs w:val="21"/>
        </w:rPr>
      </w:pPr>
    </w:p>
    <w:p>
      <w:pPr>
        <w:pStyle w:val="9"/>
        <w:overflowPunct w:val="0"/>
        <w:spacing w:line="360" w:lineRule="auto"/>
        <w:ind w:firstLine="0"/>
        <w:rPr>
          <w:rFonts w:ascii="宋体" w:hAnsi="宋体"/>
          <w:szCs w:val="21"/>
        </w:rPr>
      </w:pPr>
      <w:r>
        <w:rPr>
          <w:rFonts w:hint="eastAsia" w:ascii="宋体" w:hAnsi="宋体"/>
          <w:szCs w:val="21"/>
        </w:rPr>
        <w:t>供应商：（盖章）</w:t>
      </w:r>
    </w:p>
    <w:p>
      <w:pPr>
        <w:pStyle w:val="9"/>
        <w:overflowPunct w:val="0"/>
        <w:spacing w:line="360" w:lineRule="auto"/>
        <w:ind w:firstLine="0"/>
        <w:rPr>
          <w:rFonts w:ascii="宋体" w:hAnsi="宋体"/>
          <w:szCs w:val="21"/>
        </w:rPr>
      </w:pPr>
      <w:r>
        <w:rPr>
          <w:rFonts w:hint="eastAsia" w:ascii="宋体" w:hAnsi="宋体"/>
          <w:szCs w:val="21"/>
        </w:rPr>
        <w:t>法定代表人或代理人：（签字或盖章）</w:t>
      </w:r>
    </w:p>
    <w:p>
      <w:pPr>
        <w:spacing w:line="360" w:lineRule="auto"/>
        <w:rPr>
          <w:rFonts w:ascii="宋体" w:hAnsi="宋体"/>
          <w:szCs w:val="21"/>
        </w:rPr>
      </w:pPr>
      <w:r>
        <w:rPr>
          <w:rFonts w:hint="eastAsia" w:ascii="宋体" w:hAnsi="宋体"/>
          <w:sz w:val="21"/>
          <w:szCs w:val="21"/>
        </w:rPr>
        <w:t>日期：</w:t>
      </w:r>
      <w:r>
        <w:rPr>
          <w:rFonts w:ascii="宋体" w:hAnsi="宋体"/>
          <w:sz w:val="21"/>
          <w:szCs w:val="21"/>
        </w:rPr>
        <w:t xml:space="preserve">      </w:t>
      </w:r>
      <w:r>
        <w:rPr>
          <w:rFonts w:hint="eastAsia" w:ascii="宋体" w:hAnsi="宋体"/>
          <w:sz w:val="21"/>
          <w:szCs w:val="21"/>
        </w:rPr>
        <w:t>年</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日</w:t>
      </w:r>
    </w:p>
    <w:p>
      <w:pPr>
        <w:pStyle w:val="9"/>
        <w:overflowPunct w:val="0"/>
        <w:spacing w:line="360" w:lineRule="auto"/>
        <w:ind w:firstLine="0"/>
        <w:outlineLvl w:val="0"/>
        <w:rPr>
          <w:rFonts w:ascii="宋体" w:hAnsi="宋体"/>
          <w:b/>
          <w:szCs w:val="21"/>
        </w:rPr>
      </w:pPr>
      <w:r>
        <w:rPr>
          <w:rFonts w:ascii="宋体" w:hAnsi="宋体"/>
          <w:b/>
          <w:szCs w:val="21"/>
        </w:rPr>
        <w:br w:type="page"/>
      </w:r>
      <w:bookmarkStart w:id="90" w:name="_Toc492461895"/>
      <w:bookmarkStart w:id="91" w:name="_Toc522545754"/>
    </w:p>
    <w:p>
      <w:pPr>
        <w:pStyle w:val="9"/>
        <w:overflowPunct w:val="0"/>
        <w:spacing w:line="360" w:lineRule="auto"/>
        <w:ind w:firstLine="0"/>
        <w:outlineLvl w:val="0"/>
        <w:rPr>
          <w:rFonts w:ascii="宋体" w:hAnsi="宋体"/>
          <w:b/>
          <w:szCs w:val="21"/>
        </w:rPr>
      </w:pPr>
      <w:r>
        <w:rPr>
          <w:rFonts w:hint="eastAsia" w:ascii="宋体" w:hAnsi="宋体"/>
          <w:b/>
          <w:szCs w:val="21"/>
        </w:rPr>
        <w:t>附件8、</w:t>
      </w:r>
      <w:bookmarkEnd w:id="90"/>
      <w:r>
        <w:rPr>
          <w:rFonts w:hint="eastAsia" w:ascii="宋体" w:hAnsi="宋体"/>
          <w:b/>
          <w:szCs w:val="21"/>
        </w:rPr>
        <w:t>人员配备一览表</w:t>
      </w:r>
      <w:bookmarkEnd w:id="91"/>
    </w:p>
    <w:p>
      <w:pPr>
        <w:pStyle w:val="40"/>
        <w:ind w:firstLine="0" w:firstLineChars="0"/>
        <w:jc w:val="center"/>
        <w:rPr>
          <w:rFonts w:ascii="宋体" w:hAnsi="宋体"/>
          <w:b/>
          <w:sz w:val="21"/>
          <w:szCs w:val="21"/>
        </w:rPr>
      </w:pPr>
    </w:p>
    <w:p>
      <w:pPr>
        <w:pStyle w:val="40"/>
        <w:ind w:firstLine="0" w:firstLineChars="0"/>
        <w:jc w:val="center"/>
        <w:rPr>
          <w:rFonts w:ascii="宋体" w:hAnsi="宋体"/>
          <w:b/>
          <w:sz w:val="21"/>
          <w:szCs w:val="21"/>
        </w:rPr>
      </w:pPr>
      <w:r>
        <w:rPr>
          <w:rFonts w:hint="eastAsia" w:ascii="宋体" w:hAnsi="宋体"/>
          <w:b/>
          <w:sz w:val="21"/>
          <w:szCs w:val="21"/>
        </w:rPr>
        <w:t>人员配备一览表</w:t>
      </w:r>
    </w:p>
    <w:p>
      <w:pPr>
        <w:pStyle w:val="40"/>
        <w:ind w:firstLine="0" w:firstLineChars="0"/>
        <w:jc w:val="center"/>
        <w:rPr>
          <w:rFonts w:ascii="宋体" w:hAnsi="宋体"/>
          <w:b/>
          <w:sz w:val="21"/>
          <w:szCs w:val="21"/>
        </w:rPr>
      </w:pPr>
    </w:p>
    <w:tbl>
      <w:tblPr>
        <w:tblStyle w:val="29"/>
        <w:tblW w:w="94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1039"/>
        <w:gridCol w:w="1049"/>
        <w:gridCol w:w="979"/>
        <w:gridCol w:w="975"/>
        <w:gridCol w:w="1003"/>
        <w:gridCol w:w="850"/>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vAlign w:val="center"/>
          </w:tcPr>
          <w:p>
            <w:pPr>
              <w:spacing w:beforeLines="100" w:afterLines="100"/>
              <w:jc w:val="center"/>
              <w:rPr>
                <w:rFonts w:ascii="宋体" w:hAnsi="宋体"/>
                <w:sz w:val="21"/>
                <w:szCs w:val="21"/>
              </w:rPr>
            </w:pPr>
            <w:r>
              <w:rPr>
                <w:rFonts w:hint="eastAsia" w:ascii="宋体" w:hAnsi="宋体"/>
                <w:sz w:val="21"/>
                <w:szCs w:val="21"/>
              </w:rPr>
              <w:t>序号</w:t>
            </w:r>
          </w:p>
        </w:tc>
        <w:tc>
          <w:tcPr>
            <w:tcW w:w="1039" w:type="dxa"/>
            <w:vAlign w:val="center"/>
          </w:tcPr>
          <w:p>
            <w:pPr>
              <w:spacing w:beforeLines="100" w:afterLines="100"/>
              <w:jc w:val="center"/>
              <w:rPr>
                <w:rFonts w:ascii="宋体" w:hAnsi="宋体"/>
                <w:sz w:val="21"/>
                <w:szCs w:val="21"/>
              </w:rPr>
            </w:pPr>
            <w:r>
              <w:rPr>
                <w:rFonts w:hint="eastAsia" w:ascii="宋体" w:hAnsi="宋体"/>
                <w:sz w:val="21"/>
                <w:szCs w:val="21"/>
              </w:rPr>
              <w:t>姓名</w:t>
            </w:r>
          </w:p>
        </w:tc>
        <w:tc>
          <w:tcPr>
            <w:tcW w:w="1049" w:type="dxa"/>
            <w:vAlign w:val="center"/>
          </w:tcPr>
          <w:p>
            <w:pPr>
              <w:spacing w:beforeLines="100" w:afterLines="100"/>
              <w:jc w:val="center"/>
              <w:rPr>
                <w:rFonts w:ascii="宋体" w:hAnsi="宋体"/>
                <w:sz w:val="21"/>
                <w:szCs w:val="21"/>
              </w:rPr>
            </w:pPr>
            <w:r>
              <w:rPr>
                <w:rFonts w:hint="eastAsia" w:ascii="宋体" w:hAnsi="宋体"/>
                <w:sz w:val="21"/>
                <w:szCs w:val="21"/>
              </w:rPr>
              <w:t>年龄</w:t>
            </w:r>
          </w:p>
        </w:tc>
        <w:tc>
          <w:tcPr>
            <w:tcW w:w="979" w:type="dxa"/>
            <w:vAlign w:val="center"/>
          </w:tcPr>
          <w:p>
            <w:pPr>
              <w:spacing w:beforeLines="100" w:afterLines="100"/>
              <w:jc w:val="center"/>
              <w:rPr>
                <w:rFonts w:ascii="宋体" w:hAnsi="宋体"/>
                <w:sz w:val="21"/>
                <w:szCs w:val="21"/>
              </w:rPr>
            </w:pPr>
            <w:r>
              <w:rPr>
                <w:rFonts w:hint="eastAsia" w:ascii="宋体" w:hAnsi="宋体"/>
                <w:sz w:val="21"/>
                <w:szCs w:val="21"/>
              </w:rPr>
              <w:t>性别</w:t>
            </w:r>
          </w:p>
        </w:tc>
        <w:tc>
          <w:tcPr>
            <w:tcW w:w="975" w:type="dxa"/>
            <w:vAlign w:val="center"/>
          </w:tcPr>
          <w:p>
            <w:pPr>
              <w:spacing w:beforeLines="100" w:afterLines="100"/>
              <w:jc w:val="center"/>
              <w:rPr>
                <w:rFonts w:ascii="宋体" w:hAnsi="宋体"/>
                <w:sz w:val="21"/>
                <w:szCs w:val="21"/>
              </w:rPr>
            </w:pPr>
            <w:r>
              <w:rPr>
                <w:rFonts w:hint="eastAsia" w:ascii="宋体" w:hAnsi="宋体"/>
                <w:sz w:val="21"/>
                <w:szCs w:val="21"/>
              </w:rPr>
              <w:t>学历</w:t>
            </w:r>
          </w:p>
        </w:tc>
        <w:tc>
          <w:tcPr>
            <w:tcW w:w="1003" w:type="dxa"/>
            <w:vAlign w:val="center"/>
          </w:tcPr>
          <w:p>
            <w:pPr>
              <w:spacing w:beforeLines="100" w:afterLines="100"/>
              <w:jc w:val="center"/>
              <w:rPr>
                <w:rFonts w:ascii="宋体" w:hAnsi="宋体"/>
                <w:sz w:val="21"/>
                <w:szCs w:val="21"/>
              </w:rPr>
            </w:pPr>
            <w:r>
              <w:rPr>
                <w:rFonts w:hint="eastAsia" w:ascii="宋体" w:hAnsi="宋体"/>
                <w:sz w:val="21"/>
                <w:szCs w:val="21"/>
              </w:rPr>
              <w:t>专业</w:t>
            </w:r>
          </w:p>
        </w:tc>
        <w:tc>
          <w:tcPr>
            <w:tcW w:w="850" w:type="dxa"/>
            <w:vAlign w:val="center"/>
          </w:tcPr>
          <w:p>
            <w:pPr>
              <w:spacing w:beforeLines="100" w:afterLines="100"/>
              <w:jc w:val="center"/>
              <w:rPr>
                <w:rFonts w:ascii="宋体" w:hAnsi="宋体"/>
                <w:sz w:val="21"/>
                <w:szCs w:val="21"/>
              </w:rPr>
            </w:pPr>
            <w:r>
              <w:rPr>
                <w:rFonts w:hint="eastAsia" w:ascii="宋体" w:hAnsi="宋体"/>
                <w:sz w:val="21"/>
                <w:szCs w:val="21"/>
              </w:rPr>
              <w:t>职称</w:t>
            </w:r>
          </w:p>
        </w:tc>
        <w:tc>
          <w:tcPr>
            <w:tcW w:w="1276" w:type="dxa"/>
            <w:vAlign w:val="center"/>
          </w:tcPr>
          <w:p>
            <w:pPr>
              <w:spacing w:beforeLines="100" w:afterLines="100"/>
              <w:jc w:val="center"/>
              <w:rPr>
                <w:rFonts w:ascii="宋体" w:hAnsi="宋体"/>
                <w:sz w:val="21"/>
                <w:szCs w:val="21"/>
              </w:rPr>
            </w:pPr>
            <w:r>
              <w:rPr>
                <w:rFonts w:hint="eastAsia" w:ascii="宋体" w:hAnsi="宋体"/>
                <w:sz w:val="21"/>
                <w:szCs w:val="21"/>
              </w:rPr>
              <w:t>技术资质</w:t>
            </w:r>
          </w:p>
        </w:tc>
        <w:tc>
          <w:tcPr>
            <w:tcW w:w="1276" w:type="dxa"/>
            <w:vAlign w:val="center"/>
          </w:tcPr>
          <w:p>
            <w:pPr>
              <w:spacing w:beforeLines="100" w:afterLines="100"/>
              <w:jc w:val="center"/>
              <w:rPr>
                <w:rFonts w:ascii="宋体" w:hAnsi="宋体"/>
                <w:sz w:val="21"/>
                <w:szCs w:val="21"/>
              </w:rPr>
            </w:pPr>
            <w:r>
              <w:rPr>
                <w:rFonts w:hint="eastAsia" w:ascii="宋体" w:hAnsi="宋体"/>
                <w:sz w:val="21"/>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vAlign w:val="center"/>
          </w:tcPr>
          <w:p>
            <w:pPr>
              <w:spacing w:beforeLines="100" w:afterLines="100"/>
              <w:jc w:val="center"/>
              <w:rPr>
                <w:rFonts w:ascii="宋体" w:hAnsi="宋体"/>
                <w:sz w:val="21"/>
                <w:szCs w:val="21"/>
              </w:rPr>
            </w:pPr>
          </w:p>
        </w:tc>
        <w:tc>
          <w:tcPr>
            <w:tcW w:w="1039" w:type="dxa"/>
            <w:vAlign w:val="center"/>
          </w:tcPr>
          <w:p>
            <w:pPr>
              <w:spacing w:beforeLines="100" w:afterLines="100"/>
              <w:jc w:val="center"/>
              <w:rPr>
                <w:rFonts w:ascii="宋体" w:hAnsi="宋体"/>
                <w:sz w:val="21"/>
                <w:szCs w:val="21"/>
              </w:rPr>
            </w:pPr>
          </w:p>
        </w:tc>
        <w:tc>
          <w:tcPr>
            <w:tcW w:w="1049" w:type="dxa"/>
            <w:vAlign w:val="center"/>
          </w:tcPr>
          <w:p>
            <w:pPr>
              <w:spacing w:beforeLines="100" w:afterLines="100"/>
              <w:jc w:val="center"/>
              <w:rPr>
                <w:rFonts w:ascii="宋体" w:hAnsi="宋体"/>
                <w:sz w:val="21"/>
                <w:szCs w:val="21"/>
              </w:rPr>
            </w:pPr>
          </w:p>
        </w:tc>
        <w:tc>
          <w:tcPr>
            <w:tcW w:w="979" w:type="dxa"/>
            <w:vAlign w:val="center"/>
          </w:tcPr>
          <w:p>
            <w:pPr>
              <w:spacing w:beforeLines="100" w:afterLines="100"/>
              <w:jc w:val="center"/>
              <w:rPr>
                <w:rFonts w:ascii="宋体" w:hAnsi="宋体"/>
                <w:sz w:val="21"/>
                <w:szCs w:val="21"/>
              </w:rPr>
            </w:pPr>
          </w:p>
        </w:tc>
        <w:tc>
          <w:tcPr>
            <w:tcW w:w="975" w:type="dxa"/>
            <w:vAlign w:val="center"/>
          </w:tcPr>
          <w:p>
            <w:pPr>
              <w:spacing w:beforeLines="100" w:afterLines="100"/>
              <w:jc w:val="center"/>
              <w:rPr>
                <w:rFonts w:ascii="宋体" w:hAnsi="宋体"/>
                <w:sz w:val="21"/>
                <w:szCs w:val="21"/>
              </w:rPr>
            </w:pPr>
          </w:p>
        </w:tc>
        <w:tc>
          <w:tcPr>
            <w:tcW w:w="1003" w:type="dxa"/>
            <w:vAlign w:val="center"/>
          </w:tcPr>
          <w:p>
            <w:pPr>
              <w:spacing w:beforeLines="100" w:afterLines="100"/>
              <w:jc w:val="center"/>
              <w:rPr>
                <w:rFonts w:ascii="宋体" w:hAnsi="宋体"/>
                <w:sz w:val="21"/>
                <w:szCs w:val="21"/>
              </w:rPr>
            </w:pPr>
          </w:p>
        </w:tc>
        <w:tc>
          <w:tcPr>
            <w:tcW w:w="850"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vAlign w:val="center"/>
          </w:tcPr>
          <w:p>
            <w:pPr>
              <w:spacing w:beforeLines="100" w:afterLines="100"/>
              <w:jc w:val="center"/>
              <w:rPr>
                <w:rFonts w:ascii="宋体" w:hAnsi="宋体"/>
                <w:sz w:val="21"/>
                <w:szCs w:val="21"/>
              </w:rPr>
            </w:pPr>
          </w:p>
        </w:tc>
        <w:tc>
          <w:tcPr>
            <w:tcW w:w="1039" w:type="dxa"/>
            <w:vAlign w:val="center"/>
          </w:tcPr>
          <w:p>
            <w:pPr>
              <w:spacing w:beforeLines="100" w:afterLines="100"/>
              <w:jc w:val="center"/>
              <w:rPr>
                <w:rFonts w:ascii="宋体" w:hAnsi="宋体"/>
                <w:sz w:val="21"/>
                <w:szCs w:val="21"/>
              </w:rPr>
            </w:pPr>
          </w:p>
        </w:tc>
        <w:tc>
          <w:tcPr>
            <w:tcW w:w="1049" w:type="dxa"/>
            <w:vAlign w:val="center"/>
          </w:tcPr>
          <w:p>
            <w:pPr>
              <w:spacing w:beforeLines="100" w:afterLines="100"/>
              <w:jc w:val="center"/>
              <w:rPr>
                <w:rFonts w:ascii="宋体" w:hAnsi="宋体"/>
                <w:sz w:val="21"/>
                <w:szCs w:val="21"/>
              </w:rPr>
            </w:pPr>
          </w:p>
        </w:tc>
        <w:tc>
          <w:tcPr>
            <w:tcW w:w="979" w:type="dxa"/>
            <w:vAlign w:val="center"/>
          </w:tcPr>
          <w:p>
            <w:pPr>
              <w:spacing w:beforeLines="100" w:afterLines="100"/>
              <w:jc w:val="center"/>
              <w:rPr>
                <w:rFonts w:ascii="宋体" w:hAnsi="宋体"/>
                <w:sz w:val="21"/>
                <w:szCs w:val="21"/>
              </w:rPr>
            </w:pPr>
          </w:p>
        </w:tc>
        <w:tc>
          <w:tcPr>
            <w:tcW w:w="975" w:type="dxa"/>
            <w:vAlign w:val="center"/>
          </w:tcPr>
          <w:p>
            <w:pPr>
              <w:spacing w:beforeLines="100" w:afterLines="100"/>
              <w:jc w:val="center"/>
              <w:rPr>
                <w:rFonts w:ascii="宋体" w:hAnsi="宋体"/>
                <w:sz w:val="21"/>
                <w:szCs w:val="21"/>
              </w:rPr>
            </w:pPr>
          </w:p>
        </w:tc>
        <w:tc>
          <w:tcPr>
            <w:tcW w:w="1003" w:type="dxa"/>
            <w:vAlign w:val="center"/>
          </w:tcPr>
          <w:p>
            <w:pPr>
              <w:spacing w:beforeLines="100" w:afterLines="100"/>
              <w:jc w:val="center"/>
              <w:rPr>
                <w:rFonts w:ascii="宋体" w:hAnsi="宋体"/>
                <w:sz w:val="21"/>
                <w:szCs w:val="21"/>
              </w:rPr>
            </w:pPr>
          </w:p>
        </w:tc>
        <w:tc>
          <w:tcPr>
            <w:tcW w:w="850"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vAlign w:val="center"/>
          </w:tcPr>
          <w:p>
            <w:pPr>
              <w:spacing w:beforeLines="100" w:afterLines="100"/>
              <w:jc w:val="center"/>
              <w:rPr>
                <w:rFonts w:ascii="宋体" w:hAnsi="宋体"/>
                <w:sz w:val="21"/>
                <w:szCs w:val="21"/>
              </w:rPr>
            </w:pPr>
          </w:p>
        </w:tc>
        <w:tc>
          <w:tcPr>
            <w:tcW w:w="1039" w:type="dxa"/>
            <w:vAlign w:val="center"/>
          </w:tcPr>
          <w:p>
            <w:pPr>
              <w:spacing w:beforeLines="100" w:afterLines="100"/>
              <w:jc w:val="center"/>
              <w:rPr>
                <w:rFonts w:ascii="宋体" w:hAnsi="宋体"/>
                <w:sz w:val="21"/>
                <w:szCs w:val="21"/>
              </w:rPr>
            </w:pPr>
          </w:p>
        </w:tc>
        <w:tc>
          <w:tcPr>
            <w:tcW w:w="1049" w:type="dxa"/>
            <w:vAlign w:val="center"/>
          </w:tcPr>
          <w:p>
            <w:pPr>
              <w:spacing w:beforeLines="100" w:afterLines="100"/>
              <w:jc w:val="center"/>
              <w:rPr>
                <w:rFonts w:ascii="宋体" w:hAnsi="宋体"/>
                <w:sz w:val="21"/>
                <w:szCs w:val="21"/>
              </w:rPr>
            </w:pPr>
          </w:p>
        </w:tc>
        <w:tc>
          <w:tcPr>
            <w:tcW w:w="979" w:type="dxa"/>
            <w:vAlign w:val="center"/>
          </w:tcPr>
          <w:p>
            <w:pPr>
              <w:spacing w:beforeLines="100" w:afterLines="100"/>
              <w:jc w:val="center"/>
              <w:rPr>
                <w:rFonts w:ascii="宋体" w:hAnsi="宋体"/>
                <w:sz w:val="21"/>
                <w:szCs w:val="21"/>
              </w:rPr>
            </w:pPr>
          </w:p>
        </w:tc>
        <w:tc>
          <w:tcPr>
            <w:tcW w:w="975" w:type="dxa"/>
            <w:vAlign w:val="center"/>
          </w:tcPr>
          <w:p>
            <w:pPr>
              <w:spacing w:beforeLines="100" w:afterLines="100"/>
              <w:jc w:val="center"/>
              <w:rPr>
                <w:rFonts w:ascii="宋体" w:hAnsi="宋体"/>
                <w:sz w:val="21"/>
                <w:szCs w:val="21"/>
              </w:rPr>
            </w:pPr>
          </w:p>
        </w:tc>
        <w:tc>
          <w:tcPr>
            <w:tcW w:w="1003" w:type="dxa"/>
            <w:vAlign w:val="center"/>
          </w:tcPr>
          <w:p>
            <w:pPr>
              <w:spacing w:beforeLines="100" w:afterLines="100"/>
              <w:jc w:val="center"/>
              <w:rPr>
                <w:rFonts w:ascii="宋体" w:hAnsi="宋体"/>
                <w:sz w:val="21"/>
                <w:szCs w:val="21"/>
              </w:rPr>
            </w:pPr>
          </w:p>
        </w:tc>
        <w:tc>
          <w:tcPr>
            <w:tcW w:w="850"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11" w:type="dxa"/>
            <w:vAlign w:val="center"/>
          </w:tcPr>
          <w:p>
            <w:pPr>
              <w:spacing w:beforeLines="100" w:afterLines="100"/>
              <w:jc w:val="center"/>
              <w:rPr>
                <w:rFonts w:ascii="宋体" w:hAnsi="宋体"/>
                <w:sz w:val="21"/>
                <w:szCs w:val="21"/>
              </w:rPr>
            </w:pPr>
          </w:p>
        </w:tc>
        <w:tc>
          <w:tcPr>
            <w:tcW w:w="1039" w:type="dxa"/>
            <w:vAlign w:val="center"/>
          </w:tcPr>
          <w:p>
            <w:pPr>
              <w:spacing w:beforeLines="100" w:afterLines="100"/>
              <w:jc w:val="center"/>
              <w:rPr>
                <w:rFonts w:ascii="宋体" w:hAnsi="宋体"/>
                <w:sz w:val="21"/>
                <w:szCs w:val="21"/>
              </w:rPr>
            </w:pPr>
          </w:p>
        </w:tc>
        <w:tc>
          <w:tcPr>
            <w:tcW w:w="1049" w:type="dxa"/>
            <w:vAlign w:val="center"/>
          </w:tcPr>
          <w:p>
            <w:pPr>
              <w:spacing w:beforeLines="100" w:afterLines="100"/>
              <w:jc w:val="center"/>
              <w:rPr>
                <w:rFonts w:ascii="宋体" w:hAnsi="宋体"/>
                <w:sz w:val="21"/>
                <w:szCs w:val="21"/>
              </w:rPr>
            </w:pPr>
          </w:p>
        </w:tc>
        <w:tc>
          <w:tcPr>
            <w:tcW w:w="979" w:type="dxa"/>
            <w:vAlign w:val="center"/>
          </w:tcPr>
          <w:p>
            <w:pPr>
              <w:spacing w:beforeLines="100" w:afterLines="100"/>
              <w:jc w:val="center"/>
              <w:rPr>
                <w:rFonts w:ascii="宋体" w:hAnsi="宋体"/>
                <w:sz w:val="21"/>
                <w:szCs w:val="21"/>
              </w:rPr>
            </w:pPr>
          </w:p>
        </w:tc>
        <w:tc>
          <w:tcPr>
            <w:tcW w:w="975" w:type="dxa"/>
            <w:vAlign w:val="center"/>
          </w:tcPr>
          <w:p>
            <w:pPr>
              <w:spacing w:beforeLines="100" w:afterLines="100"/>
              <w:jc w:val="center"/>
              <w:rPr>
                <w:rFonts w:ascii="宋体" w:hAnsi="宋体"/>
                <w:sz w:val="21"/>
                <w:szCs w:val="21"/>
              </w:rPr>
            </w:pPr>
          </w:p>
        </w:tc>
        <w:tc>
          <w:tcPr>
            <w:tcW w:w="1003" w:type="dxa"/>
            <w:vAlign w:val="center"/>
          </w:tcPr>
          <w:p>
            <w:pPr>
              <w:spacing w:beforeLines="100" w:afterLines="100"/>
              <w:jc w:val="center"/>
              <w:rPr>
                <w:rFonts w:ascii="宋体" w:hAnsi="宋体"/>
                <w:sz w:val="21"/>
                <w:szCs w:val="21"/>
              </w:rPr>
            </w:pPr>
          </w:p>
        </w:tc>
        <w:tc>
          <w:tcPr>
            <w:tcW w:w="850"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c>
          <w:tcPr>
            <w:tcW w:w="1276" w:type="dxa"/>
            <w:vAlign w:val="center"/>
          </w:tcPr>
          <w:p>
            <w:pPr>
              <w:spacing w:beforeLines="100" w:afterLines="10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58" w:type="dxa"/>
            <w:gridSpan w:val="9"/>
            <w:vAlign w:val="center"/>
          </w:tcPr>
          <w:p>
            <w:pPr>
              <w:spacing w:beforeLines="100" w:afterLines="100"/>
              <w:jc w:val="center"/>
              <w:rPr>
                <w:rFonts w:ascii="宋体" w:hAnsi="宋体"/>
                <w:sz w:val="21"/>
                <w:szCs w:val="21"/>
              </w:rPr>
            </w:pPr>
            <w:r>
              <w:rPr>
                <w:rFonts w:hint="eastAsia" w:ascii="宋体" w:hAnsi="宋体"/>
                <w:sz w:val="21"/>
                <w:szCs w:val="21"/>
              </w:rPr>
              <w:t>（可加行）</w:t>
            </w:r>
          </w:p>
        </w:tc>
      </w:tr>
    </w:tbl>
    <w:p>
      <w:pPr>
        <w:pStyle w:val="9"/>
        <w:overflowPunct w:val="0"/>
        <w:spacing w:line="360" w:lineRule="auto"/>
        <w:ind w:firstLine="0"/>
        <w:rPr>
          <w:rFonts w:ascii="宋体" w:hAnsi="宋体"/>
          <w:b/>
          <w:szCs w:val="21"/>
        </w:rPr>
      </w:pPr>
    </w:p>
    <w:p>
      <w:pPr>
        <w:pStyle w:val="9"/>
        <w:overflowPunct w:val="0"/>
        <w:spacing w:line="360" w:lineRule="auto"/>
        <w:ind w:firstLine="0"/>
        <w:rPr>
          <w:rFonts w:ascii="宋体" w:hAnsi="宋体"/>
          <w:b/>
          <w:szCs w:val="21"/>
        </w:rPr>
      </w:pPr>
    </w:p>
    <w:p>
      <w:pPr>
        <w:pStyle w:val="9"/>
        <w:overflowPunct w:val="0"/>
        <w:spacing w:line="360" w:lineRule="auto"/>
        <w:ind w:firstLine="0"/>
        <w:rPr>
          <w:rFonts w:ascii="宋体" w:hAnsi="宋体"/>
          <w:szCs w:val="21"/>
        </w:rPr>
      </w:pPr>
      <w:r>
        <w:rPr>
          <w:rFonts w:hint="eastAsia" w:ascii="宋体" w:hAnsi="宋体"/>
          <w:szCs w:val="21"/>
        </w:rPr>
        <w:t>供应商：（盖章）</w:t>
      </w:r>
    </w:p>
    <w:p>
      <w:pPr>
        <w:pStyle w:val="9"/>
        <w:overflowPunct w:val="0"/>
        <w:spacing w:line="360" w:lineRule="auto"/>
        <w:ind w:firstLine="0"/>
        <w:rPr>
          <w:rFonts w:ascii="宋体" w:hAnsi="宋体"/>
          <w:szCs w:val="21"/>
        </w:rPr>
      </w:pPr>
      <w:r>
        <w:rPr>
          <w:rFonts w:hint="eastAsia" w:ascii="宋体" w:hAnsi="宋体"/>
          <w:szCs w:val="21"/>
        </w:rPr>
        <w:t>法定代表人或代理人：（签字或盖章）</w:t>
      </w:r>
    </w:p>
    <w:p>
      <w:pPr>
        <w:pStyle w:val="9"/>
        <w:overflowPunct w:val="0"/>
        <w:spacing w:line="360" w:lineRule="auto"/>
        <w:ind w:firstLine="0"/>
        <w:rPr>
          <w:sz w:val="21"/>
        </w:rPr>
      </w:pPr>
      <w:r>
        <w:rPr>
          <w:rFonts w:hint="eastAsia" w:ascii="宋体" w:hAnsi="宋体"/>
          <w:szCs w:val="21"/>
        </w:rPr>
        <w:t>日期：      年    月    日</w:t>
      </w: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right"/>
        <w:rPr>
          <w:sz w:val="21"/>
        </w:rPr>
      </w:pPr>
    </w:p>
    <w:p>
      <w:pPr>
        <w:spacing w:line="360" w:lineRule="auto"/>
        <w:jc w:val="both"/>
        <w:rPr>
          <w:sz w:val="21"/>
        </w:rPr>
      </w:pPr>
    </w:p>
    <w:p>
      <w:pPr>
        <w:spacing w:line="360" w:lineRule="auto"/>
        <w:jc w:val="both"/>
        <w:rPr>
          <w:sz w:val="21"/>
        </w:rPr>
      </w:pPr>
    </w:p>
    <w:p>
      <w:pPr>
        <w:spacing w:line="360" w:lineRule="auto"/>
        <w:jc w:val="both"/>
        <w:rPr>
          <w:rFonts w:hint="eastAsia" w:eastAsia="宋体"/>
          <w:sz w:val="21"/>
          <w:lang w:eastAsia="zh-CN"/>
        </w:rPr>
      </w:pPr>
      <w:r>
        <w:rPr>
          <w:rFonts w:hint="eastAsia"/>
          <w:sz w:val="21"/>
          <w:lang w:eastAsia="zh-CN"/>
        </w:rPr>
        <w:t>（全文完）</w:t>
      </w:r>
    </w:p>
    <w:sectPr>
      <w:headerReference r:id="rId3" w:type="default"/>
      <w:footerReference r:id="rId4" w:type="default"/>
      <w:footerReference r:id="rId5" w:type="even"/>
      <w:pgSz w:w="11906" w:h="16838"/>
      <w:pgMar w:top="907" w:right="1077" w:bottom="907" w:left="1077" w:header="851" w:footer="992" w:gutter="0"/>
      <w:pgNumType w:start="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center"/>
      <w:rPr>
        <w:rFonts w:ascii="楷体" w:hAnsi="楷体" w:eastAsia="楷体"/>
      </w:rPr>
    </w:pPr>
    <w:r>
      <w:rPr>
        <w:rFonts w:ascii="楷体" w:hAnsi="楷体" w:eastAsia="楷体"/>
      </w:rPr>
      <w:t xml:space="preserve">                                               </w:t>
    </w:r>
    <w:r>
      <w:rPr>
        <w:rFonts w:hint="eastAsia" w:ascii="楷体" w:hAnsi="楷体" w:eastAsia="楷体"/>
      </w:rPr>
      <w:t>第</w:t>
    </w:r>
    <w:r>
      <w:rPr>
        <w:rFonts w:ascii="楷体" w:hAnsi="楷体" w:eastAsia="楷体"/>
      </w:rPr>
      <w:fldChar w:fldCharType="begin"/>
    </w:r>
    <w:r>
      <w:rPr>
        <w:rFonts w:ascii="楷体" w:hAnsi="楷体" w:eastAsia="楷体"/>
      </w:rPr>
      <w:instrText xml:space="preserve">PAGE   \* MERGEFORMAT</w:instrText>
    </w:r>
    <w:r>
      <w:rPr>
        <w:rFonts w:ascii="楷体" w:hAnsi="楷体" w:eastAsia="楷体"/>
      </w:rPr>
      <w:fldChar w:fldCharType="separate"/>
    </w:r>
    <w:r>
      <w:rPr>
        <w:rFonts w:ascii="楷体" w:hAnsi="楷体" w:eastAsia="楷体"/>
        <w:lang w:val="zh-CN"/>
      </w:rPr>
      <w:t>4</w:t>
    </w:r>
    <w:r>
      <w:rPr>
        <w:rFonts w:ascii="楷体" w:hAnsi="楷体" w:eastAsia="楷体"/>
      </w:rPr>
      <w:fldChar w:fldCharType="end"/>
    </w:r>
    <w:r>
      <w:rPr>
        <w:rFonts w:hint="eastAsia" w:ascii="楷体" w:hAnsi="楷体" w:eastAsia="楷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2"/>
      </w:rPr>
    </w:pPr>
    <w:r>
      <w:fldChar w:fldCharType="begin"/>
    </w:r>
    <w:r>
      <w:rPr>
        <w:rStyle w:val="32"/>
      </w:rPr>
      <w:instrText xml:space="preserve">PAGE  </w:instrText>
    </w:r>
    <w: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napToGrid/>
      <w:rPr>
        <w:rFonts w:ascii="楷体" w:hAnsi="楷体" w:eastAsia="楷体"/>
      </w:rPr>
    </w:pPr>
    <w:r>
      <w:rPr>
        <w:rFonts w:hint="eastAsia" w:ascii="楷体" w:hAnsi="楷体" w:eastAsia="楷体"/>
      </w:rPr>
      <w:t>谈判</w:t>
    </w:r>
    <w:r>
      <w:rPr>
        <w:rFonts w:ascii="楷体" w:hAnsi="楷体" w:eastAsia="楷体"/>
      </w:rPr>
      <w:t>采购</w:t>
    </w:r>
    <w:r>
      <w:rPr>
        <w:rFonts w:hint="eastAsia" w:ascii="楷体" w:hAnsi="楷体" w:eastAsia="楷体"/>
      </w:rPr>
      <w:t xml:space="preserve">文件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    </w:t>
    </w:r>
    <w:r>
      <w:rPr>
        <w:rFonts w:ascii="楷体" w:hAnsi="楷体" w:eastAsia="楷体"/>
      </w:rPr>
      <w:t xml:space="preserve">      </w:t>
    </w:r>
    <w:r>
      <w:rPr>
        <w:rFonts w:hint="eastAsia" w:ascii="楷体" w:hAnsi="楷体" w:eastAsia="楷体"/>
      </w:rPr>
      <w:t xml:space="preserve">     采购编号：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6B7B1E"/>
    <w:multiLevelType w:val="singleLevel"/>
    <w:tmpl w:val="826B7B1E"/>
    <w:lvl w:ilvl="0" w:tentative="0">
      <w:start w:val="2"/>
      <w:numFmt w:val="decimal"/>
      <w:suff w:val="nothing"/>
      <w:lvlText w:val="（%1）"/>
      <w:lvlJc w:val="left"/>
    </w:lvl>
  </w:abstractNum>
  <w:abstractNum w:abstractNumId="1">
    <w:nsid w:val="225268C3"/>
    <w:multiLevelType w:val="multilevel"/>
    <w:tmpl w:val="225268C3"/>
    <w:lvl w:ilvl="0" w:tentative="0">
      <w:start w:val="1"/>
      <w:numFmt w:val="japaneseCounting"/>
      <w:lvlText w:val="第%1条"/>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3AD"/>
    <w:rsid w:val="00000C6F"/>
    <w:rsid w:val="00002019"/>
    <w:rsid w:val="00003808"/>
    <w:rsid w:val="0000547A"/>
    <w:rsid w:val="00015987"/>
    <w:rsid w:val="00016E36"/>
    <w:rsid w:val="00025E54"/>
    <w:rsid w:val="00034FF9"/>
    <w:rsid w:val="0004434B"/>
    <w:rsid w:val="00044CCD"/>
    <w:rsid w:val="00050C50"/>
    <w:rsid w:val="00054AB9"/>
    <w:rsid w:val="000564A5"/>
    <w:rsid w:val="000572A4"/>
    <w:rsid w:val="00065893"/>
    <w:rsid w:val="000766EF"/>
    <w:rsid w:val="000806E5"/>
    <w:rsid w:val="00086455"/>
    <w:rsid w:val="0009634D"/>
    <w:rsid w:val="000A1140"/>
    <w:rsid w:val="000A1F13"/>
    <w:rsid w:val="000A31DF"/>
    <w:rsid w:val="000B1822"/>
    <w:rsid w:val="000C59A7"/>
    <w:rsid w:val="000D2907"/>
    <w:rsid w:val="000D2FB3"/>
    <w:rsid w:val="000D4288"/>
    <w:rsid w:val="000E2714"/>
    <w:rsid w:val="000E292A"/>
    <w:rsid w:val="000F1911"/>
    <w:rsid w:val="001056B9"/>
    <w:rsid w:val="0010737E"/>
    <w:rsid w:val="00110C22"/>
    <w:rsid w:val="0011210D"/>
    <w:rsid w:val="00112F31"/>
    <w:rsid w:val="00114A40"/>
    <w:rsid w:val="001168A5"/>
    <w:rsid w:val="001242B4"/>
    <w:rsid w:val="00125C1A"/>
    <w:rsid w:val="00126A46"/>
    <w:rsid w:val="00140B0E"/>
    <w:rsid w:val="00142D89"/>
    <w:rsid w:val="001479BA"/>
    <w:rsid w:val="0015156F"/>
    <w:rsid w:val="00153D23"/>
    <w:rsid w:val="00160AE4"/>
    <w:rsid w:val="0016123D"/>
    <w:rsid w:val="001644DA"/>
    <w:rsid w:val="00165C6E"/>
    <w:rsid w:val="00171D07"/>
    <w:rsid w:val="00172A27"/>
    <w:rsid w:val="001831A3"/>
    <w:rsid w:val="00184A4C"/>
    <w:rsid w:val="00190210"/>
    <w:rsid w:val="00191F27"/>
    <w:rsid w:val="00192DC2"/>
    <w:rsid w:val="001957E4"/>
    <w:rsid w:val="001A1CC6"/>
    <w:rsid w:val="001A2649"/>
    <w:rsid w:val="001A3639"/>
    <w:rsid w:val="001A430B"/>
    <w:rsid w:val="001A550C"/>
    <w:rsid w:val="001A7B29"/>
    <w:rsid w:val="001B7397"/>
    <w:rsid w:val="001C253A"/>
    <w:rsid w:val="001D25A5"/>
    <w:rsid w:val="001D25A9"/>
    <w:rsid w:val="001D4BF8"/>
    <w:rsid w:val="001D531C"/>
    <w:rsid w:val="001D6C70"/>
    <w:rsid w:val="001D7F59"/>
    <w:rsid w:val="001E1B6B"/>
    <w:rsid w:val="001E4AA3"/>
    <w:rsid w:val="001F237E"/>
    <w:rsid w:val="001F519A"/>
    <w:rsid w:val="002068FF"/>
    <w:rsid w:val="0021133D"/>
    <w:rsid w:val="00211871"/>
    <w:rsid w:val="00215F59"/>
    <w:rsid w:val="002244B2"/>
    <w:rsid w:val="00226C4D"/>
    <w:rsid w:val="00230F43"/>
    <w:rsid w:val="0023383A"/>
    <w:rsid w:val="002378A5"/>
    <w:rsid w:val="00237D37"/>
    <w:rsid w:val="00240AD0"/>
    <w:rsid w:val="0024419A"/>
    <w:rsid w:val="00247B72"/>
    <w:rsid w:val="00253080"/>
    <w:rsid w:val="00253C2D"/>
    <w:rsid w:val="0025420D"/>
    <w:rsid w:val="002616BF"/>
    <w:rsid w:val="0026209C"/>
    <w:rsid w:val="00262DD9"/>
    <w:rsid w:val="0027419A"/>
    <w:rsid w:val="00276ED1"/>
    <w:rsid w:val="00281E29"/>
    <w:rsid w:val="002863CA"/>
    <w:rsid w:val="00292225"/>
    <w:rsid w:val="002944D0"/>
    <w:rsid w:val="00294D4A"/>
    <w:rsid w:val="002A1ADF"/>
    <w:rsid w:val="002A55C7"/>
    <w:rsid w:val="002B425B"/>
    <w:rsid w:val="002C1584"/>
    <w:rsid w:val="002C3BFE"/>
    <w:rsid w:val="002D2B7C"/>
    <w:rsid w:val="002D41BC"/>
    <w:rsid w:val="002D43F3"/>
    <w:rsid w:val="002D7274"/>
    <w:rsid w:val="002E1590"/>
    <w:rsid w:val="002F7098"/>
    <w:rsid w:val="0030418A"/>
    <w:rsid w:val="00304C5A"/>
    <w:rsid w:val="0030743D"/>
    <w:rsid w:val="00307969"/>
    <w:rsid w:val="00310B6E"/>
    <w:rsid w:val="00310F73"/>
    <w:rsid w:val="00323A65"/>
    <w:rsid w:val="003267B6"/>
    <w:rsid w:val="00330BC3"/>
    <w:rsid w:val="003315D0"/>
    <w:rsid w:val="0033225C"/>
    <w:rsid w:val="00332A69"/>
    <w:rsid w:val="00333D75"/>
    <w:rsid w:val="003341E8"/>
    <w:rsid w:val="00340B92"/>
    <w:rsid w:val="0035014B"/>
    <w:rsid w:val="00351F59"/>
    <w:rsid w:val="0035471B"/>
    <w:rsid w:val="00357DC4"/>
    <w:rsid w:val="0036246A"/>
    <w:rsid w:val="003648D1"/>
    <w:rsid w:val="00364E78"/>
    <w:rsid w:val="00374F83"/>
    <w:rsid w:val="00377F02"/>
    <w:rsid w:val="00381E40"/>
    <w:rsid w:val="00382DE4"/>
    <w:rsid w:val="0038489E"/>
    <w:rsid w:val="00386E04"/>
    <w:rsid w:val="00390648"/>
    <w:rsid w:val="003A1CC4"/>
    <w:rsid w:val="003A4052"/>
    <w:rsid w:val="003A4B9C"/>
    <w:rsid w:val="003A5B29"/>
    <w:rsid w:val="003B161C"/>
    <w:rsid w:val="003B2BE3"/>
    <w:rsid w:val="003B2DE2"/>
    <w:rsid w:val="003B5299"/>
    <w:rsid w:val="003B533F"/>
    <w:rsid w:val="003B5723"/>
    <w:rsid w:val="003B66B6"/>
    <w:rsid w:val="003C0560"/>
    <w:rsid w:val="003C34A3"/>
    <w:rsid w:val="003C3FA1"/>
    <w:rsid w:val="003D1244"/>
    <w:rsid w:val="003E1833"/>
    <w:rsid w:val="003E4EC0"/>
    <w:rsid w:val="003E7A15"/>
    <w:rsid w:val="003F045D"/>
    <w:rsid w:val="003F0990"/>
    <w:rsid w:val="003F261D"/>
    <w:rsid w:val="00403E9B"/>
    <w:rsid w:val="0041015F"/>
    <w:rsid w:val="004112EC"/>
    <w:rsid w:val="00414D87"/>
    <w:rsid w:val="004200AD"/>
    <w:rsid w:val="00425276"/>
    <w:rsid w:val="00433DE8"/>
    <w:rsid w:val="00435C83"/>
    <w:rsid w:val="00447B73"/>
    <w:rsid w:val="0045149D"/>
    <w:rsid w:val="00452ED4"/>
    <w:rsid w:val="0045398C"/>
    <w:rsid w:val="004545E0"/>
    <w:rsid w:val="004608A8"/>
    <w:rsid w:val="00464A9D"/>
    <w:rsid w:val="00464B3D"/>
    <w:rsid w:val="00476BBB"/>
    <w:rsid w:val="004813E7"/>
    <w:rsid w:val="00481BD3"/>
    <w:rsid w:val="00482FDD"/>
    <w:rsid w:val="0049737D"/>
    <w:rsid w:val="00497624"/>
    <w:rsid w:val="004A0E6D"/>
    <w:rsid w:val="004A6D9B"/>
    <w:rsid w:val="004B2274"/>
    <w:rsid w:val="004B2413"/>
    <w:rsid w:val="004B3368"/>
    <w:rsid w:val="004D073E"/>
    <w:rsid w:val="004D43A3"/>
    <w:rsid w:val="004D5A18"/>
    <w:rsid w:val="004D7813"/>
    <w:rsid w:val="004D7D6B"/>
    <w:rsid w:val="004E12CA"/>
    <w:rsid w:val="004E19D2"/>
    <w:rsid w:val="004E4910"/>
    <w:rsid w:val="004E567F"/>
    <w:rsid w:val="004E5A6C"/>
    <w:rsid w:val="004F36BA"/>
    <w:rsid w:val="004F4706"/>
    <w:rsid w:val="0050084D"/>
    <w:rsid w:val="0050131A"/>
    <w:rsid w:val="00501C28"/>
    <w:rsid w:val="00507CC1"/>
    <w:rsid w:val="00513BFA"/>
    <w:rsid w:val="00515AAF"/>
    <w:rsid w:val="005177F8"/>
    <w:rsid w:val="00520251"/>
    <w:rsid w:val="0052640C"/>
    <w:rsid w:val="00534FD3"/>
    <w:rsid w:val="0054385C"/>
    <w:rsid w:val="00546E5B"/>
    <w:rsid w:val="005505D7"/>
    <w:rsid w:val="005507C8"/>
    <w:rsid w:val="005513BC"/>
    <w:rsid w:val="00554091"/>
    <w:rsid w:val="0056209A"/>
    <w:rsid w:val="00565BA4"/>
    <w:rsid w:val="00567761"/>
    <w:rsid w:val="00571F70"/>
    <w:rsid w:val="005734BA"/>
    <w:rsid w:val="00574620"/>
    <w:rsid w:val="00574D21"/>
    <w:rsid w:val="0057534F"/>
    <w:rsid w:val="00576FA7"/>
    <w:rsid w:val="0057719E"/>
    <w:rsid w:val="00577321"/>
    <w:rsid w:val="00583386"/>
    <w:rsid w:val="005879AB"/>
    <w:rsid w:val="0059023B"/>
    <w:rsid w:val="00590619"/>
    <w:rsid w:val="005934ED"/>
    <w:rsid w:val="005963BA"/>
    <w:rsid w:val="00596E51"/>
    <w:rsid w:val="005A0A4A"/>
    <w:rsid w:val="005A71DC"/>
    <w:rsid w:val="005B55B4"/>
    <w:rsid w:val="005B55C2"/>
    <w:rsid w:val="005B64DA"/>
    <w:rsid w:val="005C32B9"/>
    <w:rsid w:val="005C36CA"/>
    <w:rsid w:val="005D230E"/>
    <w:rsid w:val="005D23D4"/>
    <w:rsid w:val="005D6BDB"/>
    <w:rsid w:val="005E266F"/>
    <w:rsid w:val="005E40A1"/>
    <w:rsid w:val="005E4180"/>
    <w:rsid w:val="005F01AC"/>
    <w:rsid w:val="005F4939"/>
    <w:rsid w:val="005F5150"/>
    <w:rsid w:val="005F7862"/>
    <w:rsid w:val="00601F1A"/>
    <w:rsid w:val="00602B5A"/>
    <w:rsid w:val="00602BF8"/>
    <w:rsid w:val="00605698"/>
    <w:rsid w:val="00605C93"/>
    <w:rsid w:val="00610198"/>
    <w:rsid w:val="00621063"/>
    <w:rsid w:val="00621A9A"/>
    <w:rsid w:val="00625879"/>
    <w:rsid w:val="0062671D"/>
    <w:rsid w:val="00637D79"/>
    <w:rsid w:val="006400AF"/>
    <w:rsid w:val="00643107"/>
    <w:rsid w:val="00643C20"/>
    <w:rsid w:val="00656827"/>
    <w:rsid w:val="0065687A"/>
    <w:rsid w:val="006634D1"/>
    <w:rsid w:val="00670F9A"/>
    <w:rsid w:val="00671EBB"/>
    <w:rsid w:val="00676767"/>
    <w:rsid w:val="00681D76"/>
    <w:rsid w:val="006829F1"/>
    <w:rsid w:val="0068496F"/>
    <w:rsid w:val="00686E2C"/>
    <w:rsid w:val="00687545"/>
    <w:rsid w:val="006A0742"/>
    <w:rsid w:val="006A23C1"/>
    <w:rsid w:val="006A41E0"/>
    <w:rsid w:val="006A46BB"/>
    <w:rsid w:val="006A4747"/>
    <w:rsid w:val="006A49AA"/>
    <w:rsid w:val="006A51E0"/>
    <w:rsid w:val="006A5D48"/>
    <w:rsid w:val="006B25EC"/>
    <w:rsid w:val="006B2668"/>
    <w:rsid w:val="006C0A97"/>
    <w:rsid w:val="006C5429"/>
    <w:rsid w:val="006D365C"/>
    <w:rsid w:val="006D423A"/>
    <w:rsid w:val="006D5F12"/>
    <w:rsid w:val="006E03B9"/>
    <w:rsid w:val="006E3A0D"/>
    <w:rsid w:val="006F1B0B"/>
    <w:rsid w:val="00713267"/>
    <w:rsid w:val="00713F6E"/>
    <w:rsid w:val="00715C3E"/>
    <w:rsid w:val="00720F0B"/>
    <w:rsid w:val="00724945"/>
    <w:rsid w:val="007251CB"/>
    <w:rsid w:val="00731779"/>
    <w:rsid w:val="00732460"/>
    <w:rsid w:val="00733242"/>
    <w:rsid w:val="007350F0"/>
    <w:rsid w:val="00742A6C"/>
    <w:rsid w:val="0074309E"/>
    <w:rsid w:val="007440D8"/>
    <w:rsid w:val="007445DE"/>
    <w:rsid w:val="007509CD"/>
    <w:rsid w:val="00752765"/>
    <w:rsid w:val="00760ECC"/>
    <w:rsid w:val="00761454"/>
    <w:rsid w:val="007627F1"/>
    <w:rsid w:val="00764FCD"/>
    <w:rsid w:val="00771B45"/>
    <w:rsid w:val="007756CD"/>
    <w:rsid w:val="0077767E"/>
    <w:rsid w:val="0078286A"/>
    <w:rsid w:val="007948F9"/>
    <w:rsid w:val="007953AE"/>
    <w:rsid w:val="00797B72"/>
    <w:rsid w:val="007A7762"/>
    <w:rsid w:val="007B042D"/>
    <w:rsid w:val="007B1419"/>
    <w:rsid w:val="007B3720"/>
    <w:rsid w:val="007B67A6"/>
    <w:rsid w:val="007C1A0B"/>
    <w:rsid w:val="007C1C5E"/>
    <w:rsid w:val="007C29B2"/>
    <w:rsid w:val="007C5312"/>
    <w:rsid w:val="007D0659"/>
    <w:rsid w:val="007D6D3F"/>
    <w:rsid w:val="007D7EE0"/>
    <w:rsid w:val="007E1AEC"/>
    <w:rsid w:val="007E31AF"/>
    <w:rsid w:val="007E7D3D"/>
    <w:rsid w:val="007F035C"/>
    <w:rsid w:val="007F130F"/>
    <w:rsid w:val="007F3E96"/>
    <w:rsid w:val="00807C92"/>
    <w:rsid w:val="0081428A"/>
    <w:rsid w:val="00815B28"/>
    <w:rsid w:val="00820D97"/>
    <w:rsid w:val="0082275C"/>
    <w:rsid w:val="00824C20"/>
    <w:rsid w:val="0084107B"/>
    <w:rsid w:val="00842915"/>
    <w:rsid w:val="00843380"/>
    <w:rsid w:val="00843CA5"/>
    <w:rsid w:val="00843DDA"/>
    <w:rsid w:val="008515DD"/>
    <w:rsid w:val="008612B8"/>
    <w:rsid w:val="00862970"/>
    <w:rsid w:val="00863576"/>
    <w:rsid w:val="0087002A"/>
    <w:rsid w:val="008732D8"/>
    <w:rsid w:val="008740D8"/>
    <w:rsid w:val="00883431"/>
    <w:rsid w:val="00887B11"/>
    <w:rsid w:val="0089447E"/>
    <w:rsid w:val="00895F1F"/>
    <w:rsid w:val="00896701"/>
    <w:rsid w:val="008A214C"/>
    <w:rsid w:val="008A21A6"/>
    <w:rsid w:val="008A298C"/>
    <w:rsid w:val="008A3576"/>
    <w:rsid w:val="008A4372"/>
    <w:rsid w:val="008A53AA"/>
    <w:rsid w:val="008A6169"/>
    <w:rsid w:val="008B1F07"/>
    <w:rsid w:val="008B3A3A"/>
    <w:rsid w:val="008B488F"/>
    <w:rsid w:val="008B6506"/>
    <w:rsid w:val="008B693B"/>
    <w:rsid w:val="008B7FCF"/>
    <w:rsid w:val="008C25E2"/>
    <w:rsid w:val="008C34BF"/>
    <w:rsid w:val="008C48B8"/>
    <w:rsid w:val="008C5FAF"/>
    <w:rsid w:val="008C6BE4"/>
    <w:rsid w:val="008C76FB"/>
    <w:rsid w:val="008D3067"/>
    <w:rsid w:val="008E497C"/>
    <w:rsid w:val="008E6775"/>
    <w:rsid w:val="008E70AA"/>
    <w:rsid w:val="008F0787"/>
    <w:rsid w:val="008F2C80"/>
    <w:rsid w:val="008F3A07"/>
    <w:rsid w:val="008F584F"/>
    <w:rsid w:val="008F63DF"/>
    <w:rsid w:val="00901D41"/>
    <w:rsid w:val="00907E88"/>
    <w:rsid w:val="00912A32"/>
    <w:rsid w:val="0093542E"/>
    <w:rsid w:val="00937C17"/>
    <w:rsid w:val="00943C19"/>
    <w:rsid w:val="00944694"/>
    <w:rsid w:val="009454DC"/>
    <w:rsid w:val="00947860"/>
    <w:rsid w:val="00953DD8"/>
    <w:rsid w:val="009543F9"/>
    <w:rsid w:val="00954C19"/>
    <w:rsid w:val="00955DE9"/>
    <w:rsid w:val="00963945"/>
    <w:rsid w:val="00965FDF"/>
    <w:rsid w:val="00972BB6"/>
    <w:rsid w:val="00972D2B"/>
    <w:rsid w:val="00974404"/>
    <w:rsid w:val="00984CE0"/>
    <w:rsid w:val="00997BD2"/>
    <w:rsid w:val="009A413D"/>
    <w:rsid w:val="009A4F6C"/>
    <w:rsid w:val="009B0098"/>
    <w:rsid w:val="009B448D"/>
    <w:rsid w:val="009B5153"/>
    <w:rsid w:val="009B765E"/>
    <w:rsid w:val="009C36B8"/>
    <w:rsid w:val="009E3908"/>
    <w:rsid w:val="009E7A09"/>
    <w:rsid w:val="009F3C23"/>
    <w:rsid w:val="009F4DCC"/>
    <w:rsid w:val="00A039C4"/>
    <w:rsid w:val="00A10452"/>
    <w:rsid w:val="00A10EA3"/>
    <w:rsid w:val="00A1466D"/>
    <w:rsid w:val="00A15464"/>
    <w:rsid w:val="00A24694"/>
    <w:rsid w:val="00A342F9"/>
    <w:rsid w:val="00A5650E"/>
    <w:rsid w:val="00A61375"/>
    <w:rsid w:val="00A6349F"/>
    <w:rsid w:val="00A64692"/>
    <w:rsid w:val="00A666FC"/>
    <w:rsid w:val="00A6699B"/>
    <w:rsid w:val="00A7195E"/>
    <w:rsid w:val="00A75267"/>
    <w:rsid w:val="00A779ED"/>
    <w:rsid w:val="00A82275"/>
    <w:rsid w:val="00A8559C"/>
    <w:rsid w:val="00A92940"/>
    <w:rsid w:val="00A94E30"/>
    <w:rsid w:val="00A96AAC"/>
    <w:rsid w:val="00AA1D68"/>
    <w:rsid w:val="00AA736C"/>
    <w:rsid w:val="00AA799A"/>
    <w:rsid w:val="00AB2EC3"/>
    <w:rsid w:val="00AB479C"/>
    <w:rsid w:val="00AB7924"/>
    <w:rsid w:val="00AC4760"/>
    <w:rsid w:val="00AC7262"/>
    <w:rsid w:val="00AC7C65"/>
    <w:rsid w:val="00AD32D1"/>
    <w:rsid w:val="00AD478E"/>
    <w:rsid w:val="00AE23B4"/>
    <w:rsid w:val="00AE50B2"/>
    <w:rsid w:val="00AF764C"/>
    <w:rsid w:val="00AF7774"/>
    <w:rsid w:val="00B00D38"/>
    <w:rsid w:val="00B0450C"/>
    <w:rsid w:val="00B071F1"/>
    <w:rsid w:val="00B116A7"/>
    <w:rsid w:val="00B16C71"/>
    <w:rsid w:val="00B16E97"/>
    <w:rsid w:val="00B3152C"/>
    <w:rsid w:val="00B365F6"/>
    <w:rsid w:val="00B405CE"/>
    <w:rsid w:val="00B42C9B"/>
    <w:rsid w:val="00B42E0D"/>
    <w:rsid w:val="00B43ECB"/>
    <w:rsid w:val="00B47212"/>
    <w:rsid w:val="00B524D5"/>
    <w:rsid w:val="00B54A0C"/>
    <w:rsid w:val="00B647ED"/>
    <w:rsid w:val="00B726AB"/>
    <w:rsid w:val="00B73E68"/>
    <w:rsid w:val="00B800AE"/>
    <w:rsid w:val="00B8060F"/>
    <w:rsid w:val="00B849F2"/>
    <w:rsid w:val="00B91D6F"/>
    <w:rsid w:val="00BA119C"/>
    <w:rsid w:val="00BA31C6"/>
    <w:rsid w:val="00BA3C70"/>
    <w:rsid w:val="00BA7BBA"/>
    <w:rsid w:val="00BA7D2B"/>
    <w:rsid w:val="00BB246E"/>
    <w:rsid w:val="00BB3A2D"/>
    <w:rsid w:val="00BB4086"/>
    <w:rsid w:val="00BB6645"/>
    <w:rsid w:val="00BC71A6"/>
    <w:rsid w:val="00BC792D"/>
    <w:rsid w:val="00BD0533"/>
    <w:rsid w:val="00BD0D26"/>
    <w:rsid w:val="00BE35B0"/>
    <w:rsid w:val="00BF393B"/>
    <w:rsid w:val="00BF63B4"/>
    <w:rsid w:val="00BF7AC5"/>
    <w:rsid w:val="00C15949"/>
    <w:rsid w:val="00C16692"/>
    <w:rsid w:val="00C239B6"/>
    <w:rsid w:val="00C2401A"/>
    <w:rsid w:val="00C245CC"/>
    <w:rsid w:val="00C35E64"/>
    <w:rsid w:val="00C41BF9"/>
    <w:rsid w:val="00C543B5"/>
    <w:rsid w:val="00C54DC2"/>
    <w:rsid w:val="00C5607C"/>
    <w:rsid w:val="00C6009E"/>
    <w:rsid w:val="00C60528"/>
    <w:rsid w:val="00C66C5D"/>
    <w:rsid w:val="00C6781E"/>
    <w:rsid w:val="00C9069A"/>
    <w:rsid w:val="00C93E5E"/>
    <w:rsid w:val="00CA4772"/>
    <w:rsid w:val="00CA4D29"/>
    <w:rsid w:val="00CA6680"/>
    <w:rsid w:val="00CB32B1"/>
    <w:rsid w:val="00CC024B"/>
    <w:rsid w:val="00CC2B3E"/>
    <w:rsid w:val="00CC3BDB"/>
    <w:rsid w:val="00CC41C1"/>
    <w:rsid w:val="00CD33F8"/>
    <w:rsid w:val="00CD4492"/>
    <w:rsid w:val="00CD5CC4"/>
    <w:rsid w:val="00CE27C8"/>
    <w:rsid w:val="00CE3D9D"/>
    <w:rsid w:val="00CE4EC4"/>
    <w:rsid w:val="00CE7DD1"/>
    <w:rsid w:val="00CF2C26"/>
    <w:rsid w:val="00CF32B5"/>
    <w:rsid w:val="00CF335E"/>
    <w:rsid w:val="00CF67CB"/>
    <w:rsid w:val="00D023A3"/>
    <w:rsid w:val="00D03733"/>
    <w:rsid w:val="00D424EC"/>
    <w:rsid w:val="00D44942"/>
    <w:rsid w:val="00D47630"/>
    <w:rsid w:val="00D50DB6"/>
    <w:rsid w:val="00D538D6"/>
    <w:rsid w:val="00D542EA"/>
    <w:rsid w:val="00D57369"/>
    <w:rsid w:val="00D70B36"/>
    <w:rsid w:val="00D74673"/>
    <w:rsid w:val="00D750BF"/>
    <w:rsid w:val="00D77107"/>
    <w:rsid w:val="00D84638"/>
    <w:rsid w:val="00D9142A"/>
    <w:rsid w:val="00D91632"/>
    <w:rsid w:val="00D91D74"/>
    <w:rsid w:val="00D96773"/>
    <w:rsid w:val="00D96AE5"/>
    <w:rsid w:val="00DA042A"/>
    <w:rsid w:val="00DB2963"/>
    <w:rsid w:val="00DB46BF"/>
    <w:rsid w:val="00DB7F07"/>
    <w:rsid w:val="00DB7F09"/>
    <w:rsid w:val="00DC0897"/>
    <w:rsid w:val="00DC10F1"/>
    <w:rsid w:val="00DC234D"/>
    <w:rsid w:val="00DC3ED2"/>
    <w:rsid w:val="00DC6678"/>
    <w:rsid w:val="00DD4768"/>
    <w:rsid w:val="00DD560E"/>
    <w:rsid w:val="00DD78A8"/>
    <w:rsid w:val="00DE64CE"/>
    <w:rsid w:val="00DE6F25"/>
    <w:rsid w:val="00DF2FEC"/>
    <w:rsid w:val="00DF31AD"/>
    <w:rsid w:val="00E026A6"/>
    <w:rsid w:val="00E039D8"/>
    <w:rsid w:val="00E05292"/>
    <w:rsid w:val="00E05F5F"/>
    <w:rsid w:val="00E06363"/>
    <w:rsid w:val="00E06CE0"/>
    <w:rsid w:val="00E1267D"/>
    <w:rsid w:val="00E1667E"/>
    <w:rsid w:val="00E20966"/>
    <w:rsid w:val="00E214F6"/>
    <w:rsid w:val="00E21F5F"/>
    <w:rsid w:val="00E25157"/>
    <w:rsid w:val="00E2697F"/>
    <w:rsid w:val="00E30EBD"/>
    <w:rsid w:val="00E35681"/>
    <w:rsid w:val="00E4261F"/>
    <w:rsid w:val="00E45FCB"/>
    <w:rsid w:val="00E5293E"/>
    <w:rsid w:val="00E57C89"/>
    <w:rsid w:val="00E6005D"/>
    <w:rsid w:val="00E60ED9"/>
    <w:rsid w:val="00E6226E"/>
    <w:rsid w:val="00E62630"/>
    <w:rsid w:val="00E62F76"/>
    <w:rsid w:val="00E64420"/>
    <w:rsid w:val="00E66637"/>
    <w:rsid w:val="00E76929"/>
    <w:rsid w:val="00E825EC"/>
    <w:rsid w:val="00E8783D"/>
    <w:rsid w:val="00E9478D"/>
    <w:rsid w:val="00E9553F"/>
    <w:rsid w:val="00EA0236"/>
    <w:rsid w:val="00EA704A"/>
    <w:rsid w:val="00EA725B"/>
    <w:rsid w:val="00EA740C"/>
    <w:rsid w:val="00EB29D6"/>
    <w:rsid w:val="00EC1762"/>
    <w:rsid w:val="00EC42C4"/>
    <w:rsid w:val="00EC71FB"/>
    <w:rsid w:val="00ED1499"/>
    <w:rsid w:val="00ED1A4B"/>
    <w:rsid w:val="00ED1CA9"/>
    <w:rsid w:val="00ED3595"/>
    <w:rsid w:val="00ED6994"/>
    <w:rsid w:val="00EE36D2"/>
    <w:rsid w:val="00EE4B90"/>
    <w:rsid w:val="00EE53E4"/>
    <w:rsid w:val="00EE692F"/>
    <w:rsid w:val="00EF746D"/>
    <w:rsid w:val="00F047F0"/>
    <w:rsid w:val="00F11513"/>
    <w:rsid w:val="00F12277"/>
    <w:rsid w:val="00F131B6"/>
    <w:rsid w:val="00F22557"/>
    <w:rsid w:val="00F241CD"/>
    <w:rsid w:val="00F241D6"/>
    <w:rsid w:val="00F26A9E"/>
    <w:rsid w:val="00F30764"/>
    <w:rsid w:val="00F33771"/>
    <w:rsid w:val="00F357EB"/>
    <w:rsid w:val="00F47CA9"/>
    <w:rsid w:val="00F51FBA"/>
    <w:rsid w:val="00F62363"/>
    <w:rsid w:val="00F62FAF"/>
    <w:rsid w:val="00F67505"/>
    <w:rsid w:val="00F75C74"/>
    <w:rsid w:val="00F779C3"/>
    <w:rsid w:val="00F81C58"/>
    <w:rsid w:val="00F82022"/>
    <w:rsid w:val="00F9216E"/>
    <w:rsid w:val="00F92C4F"/>
    <w:rsid w:val="00F95EE8"/>
    <w:rsid w:val="00FB0D96"/>
    <w:rsid w:val="00FB2121"/>
    <w:rsid w:val="00FB2D90"/>
    <w:rsid w:val="00FB400D"/>
    <w:rsid w:val="00FB77BC"/>
    <w:rsid w:val="00FC0486"/>
    <w:rsid w:val="00FC0F52"/>
    <w:rsid w:val="00FC5494"/>
    <w:rsid w:val="00FD0F19"/>
    <w:rsid w:val="00FD4B84"/>
    <w:rsid w:val="00FD7441"/>
    <w:rsid w:val="00FE201D"/>
    <w:rsid w:val="00FE2261"/>
    <w:rsid w:val="00FE3B25"/>
    <w:rsid w:val="00FE6BDD"/>
    <w:rsid w:val="00FF3027"/>
    <w:rsid w:val="00FF5F3C"/>
    <w:rsid w:val="067838D8"/>
    <w:rsid w:val="07D5025A"/>
    <w:rsid w:val="0B473260"/>
    <w:rsid w:val="0C8944E1"/>
    <w:rsid w:val="0E6F5C2A"/>
    <w:rsid w:val="106421EB"/>
    <w:rsid w:val="113A7A41"/>
    <w:rsid w:val="15E7706B"/>
    <w:rsid w:val="1CA64CA2"/>
    <w:rsid w:val="1DA427A6"/>
    <w:rsid w:val="1E8A055E"/>
    <w:rsid w:val="23CF303B"/>
    <w:rsid w:val="26D112EC"/>
    <w:rsid w:val="293878E3"/>
    <w:rsid w:val="2AA92CE4"/>
    <w:rsid w:val="2B0C3F43"/>
    <w:rsid w:val="2B583DA0"/>
    <w:rsid w:val="2CC5317D"/>
    <w:rsid w:val="2DF379C8"/>
    <w:rsid w:val="34ED0B40"/>
    <w:rsid w:val="36416C36"/>
    <w:rsid w:val="3A244B74"/>
    <w:rsid w:val="3A480320"/>
    <w:rsid w:val="3BCF226B"/>
    <w:rsid w:val="3EBF36A2"/>
    <w:rsid w:val="50181DE8"/>
    <w:rsid w:val="566D7168"/>
    <w:rsid w:val="57FD1AD6"/>
    <w:rsid w:val="593A50D0"/>
    <w:rsid w:val="641F47B8"/>
    <w:rsid w:val="6B3D7113"/>
    <w:rsid w:val="6EBD7DA9"/>
    <w:rsid w:val="725E16D4"/>
    <w:rsid w:val="7CC04EB6"/>
    <w:rsid w:val="7CC92FA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paragraph" w:styleId="2">
    <w:name w:val="heading 1"/>
    <w:basedOn w:val="1"/>
    <w:next w:val="1"/>
    <w:qFormat/>
    <w:uiPriority w:val="0"/>
    <w:pPr>
      <w:keepNext/>
      <w:keepLines/>
      <w:widowControl w:val="0"/>
      <w:spacing w:before="340" w:after="330" w:line="578" w:lineRule="auto"/>
      <w:jc w:val="both"/>
      <w:outlineLvl w:val="0"/>
    </w:pPr>
    <w:rPr>
      <w:rFonts w:eastAsia="楷体_GB2312"/>
      <w:b/>
      <w:kern w:val="44"/>
      <w:sz w:val="44"/>
      <w:szCs w:val="20"/>
    </w:rPr>
  </w:style>
  <w:style w:type="paragraph" w:styleId="3">
    <w:name w:val="heading 2"/>
    <w:basedOn w:val="1"/>
    <w:next w:val="1"/>
    <w:link w:val="38"/>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qFormat/>
    <w:uiPriority w:val="0"/>
    <w:pPr>
      <w:keepNext/>
      <w:keepLines/>
      <w:adjustRightInd w:val="0"/>
      <w:jc w:val="center"/>
      <w:outlineLvl w:val="2"/>
    </w:pPr>
    <w:rPr>
      <w:b/>
      <w:sz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outlineLvl w:val="4"/>
    </w:pPr>
    <w:rPr>
      <w:rFonts w:ascii="宋体" w:hAnsi="宋体"/>
      <w:color w:val="000000"/>
    </w:rPr>
  </w:style>
  <w:style w:type="paragraph" w:styleId="7">
    <w:name w:val="heading 6"/>
    <w:basedOn w:val="1"/>
    <w:next w:val="1"/>
    <w:qFormat/>
    <w:uiPriority w:val="0"/>
    <w:pPr>
      <w:keepNext/>
      <w:outlineLvl w:val="5"/>
    </w:pPr>
    <w:rPr>
      <w:rFonts w:ascii="宋体" w:hAnsi="宋体"/>
    </w:rPr>
  </w:style>
  <w:style w:type="paragraph" w:styleId="8">
    <w:name w:val="heading 7"/>
    <w:basedOn w:val="1"/>
    <w:next w:val="1"/>
    <w:link w:val="61"/>
    <w:qFormat/>
    <w:uiPriority w:val="0"/>
    <w:pPr>
      <w:keepNext/>
      <w:keepLines/>
      <w:spacing w:before="240" w:after="64" w:line="320" w:lineRule="auto"/>
      <w:outlineLvl w:val="6"/>
    </w:pPr>
    <w:rPr>
      <w:b/>
      <w:bCs/>
    </w:rPr>
  </w:style>
  <w:style w:type="character" w:default="1" w:styleId="31">
    <w:name w:val="Default Paragraph Font"/>
    <w:semiHidden/>
    <w:unhideWhenUsed/>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9">
    <w:name w:val="Normal Indent"/>
    <w:basedOn w:val="1"/>
    <w:link w:val="37"/>
    <w:qFormat/>
    <w:uiPriority w:val="0"/>
    <w:pPr>
      <w:widowControl w:val="0"/>
      <w:ind w:firstLine="420"/>
      <w:jc w:val="both"/>
    </w:pPr>
    <w:rPr>
      <w:kern w:val="2"/>
      <w:sz w:val="21"/>
      <w:szCs w:val="20"/>
    </w:rPr>
  </w:style>
  <w:style w:type="paragraph" w:styleId="10">
    <w:name w:val="Document Map"/>
    <w:basedOn w:val="1"/>
    <w:uiPriority w:val="0"/>
    <w:pPr>
      <w:shd w:val="clear" w:color="auto" w:fill="000080"/>
    </w:pPr>
  </w:style>
  <w:style w:type="paragraph" w:styleId="11">
    <w:name w:val="annotation text"/>
    <w:basedOn w:val="1"/>
    <w:link w:val="59"/>
    <w:uiPriority w:val="0"/>
  </w:style>
  <w:style w:type="paragraph" w:styleId="12">
    <w:name w:val="Body Text"/>
    <w:basedOn w:val="1"/>
    <w:link w:val="45"/>
    <w:semiHidden/>
    <w:uiPriority w:val="0"/>
    <w:pPr>
      <w:widowControl w:val="0"/>
      <w:spacing w:after="120"/>
      <w:jc w:val="both"/>
    </w:pPr>
    <w:rPr>
      <w:rFonts w:eastAsia="楷体_GB2312"/>
      <w:kern w:val="2"/>
      <w:sz w:val="28"/>
      <w:szCs w:val="20"/>
    </w:rPr>
  </w:style>
  <w:style w:type="paragraph" w:styleId="13">
    <w:name w:val="Body Text Indent"/>
    <w:basedOn w:val="1"/>
    <w:qFormat/>
    <w:uiPriority w:val="0"/>
    <w:pPr>
      <w:spacing w:after="120"/>
      <w:ind w:left="420" w:leftChars="200"/>
    </w:pPr>
  </w:style>
  <w:style w:type="paragraph" w:styleId="14">
    <w:name w:val="List 2"/>
    <w:basedOn w:val="1"/>
    <w:uiPriority w:val="0"/>
    <w:pPr>
      <w:widowControl w:val="0"/>
      <w:ind w:left="100" w:leftChars="200" w:hanging="200" w:hangingChars="200"/>
      <w:jc w:val="both"/>
    </w:pPr>
    <w:rPr>
      <w:kern w:val="2"/>
      <w:sz w:val="21"/>
    </w:rPr>
  </w:style>
  <w:style w:type="paragraph" w:styleId="15">
    <w:name w:val="Block Text"/>
    <w:basedOn w:val="1"/>
    <w:qFormat/>
    <w:uiPriority w:val="0"/>
    <w:pPr>
      <w:widowControl w:val="0"/>
      <w:adjustRightInd w:val="0"/>
      <w:spacing w:line="360" w:lineRule="auto"/>
      <w:ind w:left="630" w:right="-609" w:firstLine="420"/>
      <w:jc w:val="both"/>
    </w:pPr>
    <w:rPr>
      <w:rFonts w:hint="eastAsia" w:ascii="仿宋_GB2312" w:eastAsia="仿宋_GB2312"/>
      <w:sz w:val="21"/>
      <w:szCs w:val="20"/>
    </w:rPr>
  </w:style>
  <w:style w:type="paragraph" w:styleId="16">
    <w:name w:val="toc 3"/>
    <w:basedOn w:val="1"/>
    <w:next w:val="1"/>
    <w:unhideWhenUsed/>
    <w:uiPriority w:val="39"/>
    <w:pPr>
      <w:spacing w:after="100" w:line="259" w:lineRule="auto"/>
      <w:ind w:left="440"/>
    </w:pPr>
    <w:rPr>
      <w:sz w:val="22"/>
      <w:szCs w:val="22"/>
    </w:rPr>
  </w:style>
  <w:style w:type="paragraph" w:styleId="17">
    <w:name w:val="Plain Text"/>
    <w:basedOn w:val="1"/>
    <w:link w:val="54"/>
    <w:uiPriority w:val="0"/>
    <w:pPr>
      <w:widowControl w:val="0"/>
      <w:jc w:val="both"/>
    </w:pPr>
    <w:rPr>
      <w:rFonts w:ascii="宋体" w:hAnsi="Courier New"/>
      <w:kern w:val="2"/>
      <w:sz w:val="21"/>
      <w:szCs w:val="20"/>
    </w:rPr>
  </w:style>
  <w:style w:type="paragraph" w:styleId="18">
    <w:name w:val="Date"/>
    <w:basedOn w:val="1"/>
    <w:next w:val="1"/>
    <w:uiPriority w:val="0"/>
    <w:pPr>
      <w:ind w:left="100" w:leftChars="2500"/>
    </w:pPr>
  </w:style>
  <w:style w:type="paragraph" w:styleId="19">
    <w:name w:val="Balloon Text"/>
    <w:basedOn w:val="1"/>
    <w:semiHidden/>
    <w:qFormat/>
    <w:uiPriority w:val="0"/>
    <w:rPr>
      <w:sz w:val="18"/>
      <w:szCs w:val="18"/>
    </w:rPr>
  </w:style>
  <w:style w:type="paragraph" w:styleId="20">
    <w:name w:val="footer"/>
    <w:basedOn w:val="1"/>
    <w:link w:val="53"/>
    <w:qFormat/>
    <w:uiPriority w:val="99"/>
    <w:pPr>
      <w:widowControl w:val="0"/>
      <w:tabs>
        <w:tab w:val="center" w:pos="4153"/>
        <w:tab w:val="right" w:pos="8306"/>
      </w:tabs>
      <w:snapToGrid w:val="0"/>
    </w:pPr>
    <w:rPr>
      <w:kern w:val="2"/>
      <w:sz w:val="18"/>
      <w:szCs w:val="18"/>
    </w:rPr>
  </w:style>
  <w:style w:type="paragraph" w:styleId="21">
    <w:name w:val="header"/>
    <w:basedOn w:val="1"/>
    <w:qFormat/>
    <w:uiPriority w:val="0"/>
    <w:pPr>
      <w:widowControl w:val="0"/>
      <w:pBdr>
        <w:bottom w:val="single" w:color="auto" w:sz="6" w:space="1"/>
      </w:pBdr>
      <w:tabs>
        <w:tab w:val="center" w:pos="4153"/>
        <w:tab w:val="right" w:pos="8306"/>
      </w:tabs>
      <w:snapToGrid w:val="0"/>
      <w:jc w:val="center"/>
    </w:pPr>
    <w:rPr>
      <w:kern w:val="2"/>
      <w:sz w:val="18"/>
      <w:szCs w:val="18"/>
    </w:rPr>
  </w:style>
  <w:style w:type="paragraph" w:styleId="22">
    <w:name w:val="toc 1"/>
    <w:basedOn w:val="1"/>
    <w:next w:val="1"/>
    <w:qFormat/>
    <w:uiPriority w:val="39"/>
    <w:pPr>
      <w:widowControl w:val="0"/>
      <w:adjustRightInd w:val="0"/>
      <w:textAlignment w:val="baseline"/>
    </w:pPr>
    <w:rPr>
      <w:rFonts w:eastAsia="楷体_GB2312"/>
      <w:kern w:val="2"/>
      <w:szCs w:val="20"/>
    </w:rPr>
  </w:style>
  <w:style w:type="paragraph" w:styleId="23">
    <w:name w:val="Subtitle"/>
    <w:basedOn w:val="1"/>
    <w:next w:val="1"/>
    <w:link w:val="62"/>
    <w:qFormat/>
    <w:uiPriority w:val="0"/>
    <w:pPr>
      <w:widowControl w:val="0"/>
      <w:spacing w:before="240" w:after="60" w:line="312" w:lineRule="auto"/>
      <w:jc w:val="center"/>
      <w:outlineLvl w:val="1"/>
    </w:pPr>
    <w:rPr>
      <w:rFonts w:ascii="Cambria" w:hAnsi="Cambria"/>
      <w:b/>
      <w:bCs/>
      <w:kern w:val="28"/>
      <w:sz w:val="32"/>
      <w:szCs w:val="32"/>
    </w:rPr>
  </w:style>
  <w:style w:type="paragraph" w:styleId="24">
    <w:name w:val="Body Text Indent 3"/>
    <w:basedOn w:val="1"/>
    <w:uiPriority w:val="0"/>
    <w:pPr>
      <w:widowControl w:val="0"/>
      <w:spacing w:line="300" w:lineRule="auto"/>
      <w:ind w:firstLine="480" w:firstLineChars="200"/>
    </w:pPr>
    <w:rPr>
      <w:kern w:val="2"/>
    </w:rPr>
  </w:style>
  <w:style w:type="paragraph" w:styleId="25">
    <w:name w:val="toc 2"/>
    <w:basedOn w:val="1"/>
    <w:next w:val="1"/>
    <w:unhideWhenUsed/>
    <w:qFormat/>
    <w:uiPriority w:val="39"/>
    <w:pPr>
      <w:spacing w:after="100" w:line="259" w:lineRule="auto"/>
      <w:ind w:left="220"/>
    </w:pPr>
    <w:rPr>
      <w:sz w:val="22"/>
      <w:szCs w:val="22"/>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rPr>
  </w:style>
  <w:style w:type="paragraph" w:styleId="27">
    <w:name w:val="Normal (Web)"/>
    <w:basedOn w:val="1"/>
    <w:unhideWhenUsed/>
    <w:qFormat/>
    <w:uiPriority w:val="0"/>
    <w:pPr>
      <w:spacing w:before="100" w:beforeAutospacing="1" w:after="100" w:afterAutospacing="1"/>
    </w:pPr>
    <w:rPr>
      <w:rFonts w:ascii="Arial" w:hAnsi="Arial" w:cs="Arial"/>
      <w:sz w:val="18"/>
      <w:szCs w:val="18"/>
    </w:rPr>
  </w:style>
  <w:style w:type="paragraph" w:styleId="28">
    <w:name w:val="annotation subject"/>
    <w:basedOn w:val="11"/>
    <w:next w:val="11"/>
    <w:link w:val="60"/>
    <w:qFormat/>
    <w:uiPriority w:val="0"/>
    <w:rPr>
      <w:b/>
      <w:bCs/>
    </w:rPr>
  </w:style>
  <w:style w:type="table" w:styleId="30">
    <w:name w:val="Table Grid"/>
    <w:basedOn w:val="29"/>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2">
    <w:name w:val="page number"/>
    <w:basedOn w:val="31"/>
    <w:uiPriority w:val="0"/>
  </w:style>
  <w:style w:type="character" w:styleId="33">
    <w:name w:val="Hyperlink"/>
    <w:uiPriority w:val="99"/>
    <w:rPr>
      <w:color w:val="0000FF"/>
      <w:u w:val="single"/>
    </w:rPr>
  </w:style>
  <w:style w:type="character" w:styleId="34">
    <w:name w:val="annotation reference"/>
    <w:uiPriority w:val="0"/>
    <w:rPr>
      <w:sz w:val="21"/>
      <w:szCs w:val="21"/>
    </w:rPr>
  </w:style>
  <w:style w:type="character" w:customStyle="1" w:styleId="35">
    <w:name w:val="_正文段落 Char"/>
    <w:link w:val="36"/>
    <w:qFormat/>
    <w:uiPriority w:val="0"/>
    <w:rPr>
      <w:rFonts w:ascii="宋体" w:hAnsi="宋体"/>
      <w:kern w:val="2"/>
      <w:sz w:val="24"/>
      <w:szCs w:val="24"/>
    </w:rPr>
  </w:style>
  <w:style w:type="paragraph" w:customStyle="1" w:styleId="36">
    <w:name w:val="_正文段落"/>
    <w:basedOn w:val="1"/>
    <w:link w:val="35"/>
    <w:qFormat/>
    <w:uiPriority w:val="0"/>
    <w:pPr>
      <w:widowControl w:val="0"/>
      <w:spacing w:line="360" w:lineRule="auto"/>
      <w:ind w:firstLine="200" w:firstLineChars="200"/>
    </w:pPr>
    <w:rPr>
      <w:rFonts w:ascii="宋体" w:hAnsi="宋体"/>
      <w:kern w:val="2"/>
    </w:rPr>
  </w:style>
  <w:style w:type="character" w:customStyle="1" w:styleId="37">
    <w:name w:val="正文缩进 Char"/>
    <w:link w:val="9"/>
    <w:qFormat/>
    <w:uiPriority w:val="0"/>
    <w:rPr>
      <w:rFonts w:eastAsia="宋体"/>
      <w:kern w:val="2"/>
      <w:sz w:val="21"/>
      <w:lang w:val="en-US" w:eastAsia="zh-CN" w:bidi="ar-SA"/>
    </w:rPr>
  </w:style>
  <w:style w:type="character" w:customStyle="1" w:styleId="38">
    <w:name w:val="标题 2 Char"/>
    <w:link w:val="3"/>
    <w:semiHidden/>
    <w:qFormat/>
    <w:uiPriority w:val="0"/>
    <w:rPr>
      <w:rFonts w:ascii="Calibri Light" w:hAnsi="Calibri Light" w:eastAsia="宋体" w:cs="Times New Roman"/>
      <w:b/>
      <w:bCs/>
      <w:sz w:val="32"/>
      <w:szCs w:val="32"/>
    </w:rPr>
  </w:style>
  <w:style w:type="character" w:customStyle="1" w:styleId="39">
    <w:name w:val="Andy_正文 Char"/>
    <w:link w:val="40"/>
    <w:qFormat/>
    <w:uiPriority w:val="0"/>
    <w:rPr>
      <w:rFonts w:ascii="Calibri" w:hAnsi="Calibri"/>
      <w:sz w:val="24"/>
      <w:szCs w:val="24"/>
    </w:rPr>
  </w:style>
  <w:style w:type="paragraph" w:customStyle="1" w:styleId="40">
    <w:name w:val="Andy_正文"/>
    <w:basedOn w:val="1"/>
    <w:link w:val="39"/>
    <w:qFormat/>
    <w:uiPriority w:val="0"/>
    <w:pPr>
      <w:widowControl w:val="0"/>
      <w:spacing w:line="360" w:lineRule="auto"/>
      <w:ind w:firstLine="480" w:firstLineChars="200"/>
      <w:jc w:val="both"/>
    </w:pPr>
  </w:style>
  <w:style w:type="character" w:customStyle="1" w:styleId="41">
    <w:name w:val="副标题 Char1"/>
    <w:qFormat/>
    <w:uiPriority w:val="0"/>
    <w:rPr>
      <w:rFonts w:ascii="Calibri Light" w:hAnsi="Calibri Light" w:cs="Times New Roman"/>
      <w:b/>
      <w:bCs/>
      <w:kern w:val="28"/>
      <w:sz w:val="32"/>
      <w:szCs w:val="32"/>
    </w:rPr>
  </w:style>
  <w:style w:type="character" w:customStyle="1" w:styleId="42">
    <w:name w:val="apple-converted-space"/>
    <w:basedOn w:val="31"/>
    <w:uiPriority w:val="0"/>
  </w:style>
  <w:style w:type="character" w:customStyle="1" w:styleId="43">
    <w:name w:val="正文缩进1 Char1"/>
    <w:uiPriority w:val="0"/>
    <w:rPr>
      <w:rFonts w:eastAsia="楷体_GB2312"/>
      <w:kern w:val="2"/>
      <w:sz w:val="24"/>
      <w:lang w:val="en-US" w:eastAsia="zh-CN" w:bidi="ar-SA"/>
    </w:rPr>
  </w:style>
  <w:style w:type="character" w:customStyle="1" w:styleId="44">
    <w:name w:val="Plain Text Char"/>
    <w:qFormat/>
    <w:uiPriority w:val="0"/>
    <w:rPr>
      <w:rFonts w:ascii="宋体" w:hAnsi="Courier New" w:eastAsia="楷体_GB2312"/>
      <w:kern w:val="2"/>
      <w:sz w:val="26"/>
    </w:rPr>
  </w:style>
  <w:style w:type="character" w:customStyle="1" w:styleId="45">
    <w:name w:val="正文文本 Char"/>
    <w:link w:val="12"/>
    <w:semiHidden/>
    <w:qFormat/>
    <w:locked/>
    <w:uiPriority w:val="0"/>
    <w:rPr>
      <w:rFonts w:eastAsia="楷体_GB2312"/>
      <w:kern w:val="2"/>
      <w:sz w:val="28"/>
      <w:lang w:val="en-US" w:eastAsia="zh-CN" w:bidi="ar-SA"/>
    </w:rPr>
  </w:style>
  <w:style w:type="character" w:customStyle="1" w:styleId="46">
    <w:name w:val="Andy_3级 Char"/>
    <w:link w:val="47"/>
    <w:qFormat/>
    <w:uiPriority w:val="0"/>
    <w:rPr>
      <w:sz w:val="24"/>
    </w:rPr>
  </w:style>
  <w:style w:type="paragraph" w:customStyle="1" w:styleId="47">
    <w:name w:val="Andy_3级"/>
    <w:basedOn w:val="1"/>
    <w:link w:val="46"/>
    <w:qFormat/>
    <w:uiPriority w:val="0"/>
    <w:pPr>
      <w:widowControl w:val="0"/>
      <w:tabs>
        <w:tab w:val="left" w:pos="1260"/>
      </w:tabs>
      <w:spacing w:line="360" w:lineRule="auto"/>
      <w:ind w:left="1260" w:hanging="420"/>
      <w:jc w:val="both"/>
    </w:pPr>
    <w:rPr>
      <w:szCs w:val="20"/>
    </w:rPr>
  </w:style>
  <w:style w:type="character" w:customStyle="1" w:styleId="48">
    <w:name w:val="zihao_18 jiacu"/>
    <w:basedOn w:val="31"/>
    <w:qFormat/>
    <w:uiPriority w:val="0"/>
  </w:style>
  <w:style w:type="character" w:customStyle="1" w:styleId="49">
    <w:name w:val="tytytyty Char"/>
    <w:link w:val="50"/>
    <w:qFormat/>
    <w:locked/>
    <w:uiPriority w:val="0"/>
    <w:rPr>
      <w:rFonts w:eastAsia="宋体"/>
      <w:sz w:val="24"/>
      <w:szCs w:val="24"/>
      <w:lang w:val="en-US" w:eastAsia="zh-CN" w:bidi="ar-SA"/>
    </w:rPr>
  </w:style>
  <w:style w:type="paragraph" w:customStyle="1" w:styleId="50">
    <w:name w:val="tytytyty"/>
    <w:basedOn w:val="1"/>
    <w:link w:val="49"/>
    <w:qFormat/>
    <w:uiPriority w:val="0"/>
    <w:pPr>
      <w:widowControl w:val="0"/>
      <w:spacing w:line="360" w:lineRule="auto"/>
      <w:ind w:left="359" w:leftChars="171" w:firstLine="480" w:firstLineChars="200"/>
      <w:jc w:val="both"/>
    </w:pPr>
  </w:style>
  <w:style w:type="character" w:customStyle="1" w:styleId="51">
    <w:name w:val="Plain Text Char Char"/>
    <w:link w:val="52"/>
    <w:qFormat/>
    <w:uiPriority w:val="0"/>
    <w:rPr>
      <w:rFonts w:ascii="宋体" w:hAnsi="Courier New" w:eastAsia="楷体_GB2312"/>
      <w:sz w:val="26"/>
    </w:rPr>
  </w:style>
  <w:style w:type="paragraph" w:customStyle="1" w:styleId="52">
    <w:name w:val="纯文本1"/>
    <w:basedOn w:val="1"/>
    <w:link w:val="51"/>
    <w:qFormat/>
    <w:uiPriority w:val="0"/>
    <w:pPr>
      <w:adjustRightInd w:val="0"/>
      <w:textAlignment w:val="baseline"/>
    </w:pPr>
    <w:rPr>
      <w:rFonts w:ascii="宋体" w:hAnsi="Courier New" w:eastAsia="楷体_GB2312"/>
      <w:sz w:val="26"/>
      <w:szCs w:val="20"/>
    </w:rPr>
  </w:style>
  <w:style w:type="character" w:customStyle="1" w:styleId="53">
    <w:name w:val="页脚 Char"/>
    <w:link w:val="20"/>
    <w:qFormat/>
    <w:uiPriority w:val="99"/>
    <w:rPr>
      <w:kern w:val="2"/>
      <w:sz w:val="18"/>
      <w:szCs w:val="18"/>
    </w:rPr>
  </w:style>
  <w:style w:type="character" w:customStyle="1" w:styleId="54">
    <w:name w:val="纯文本 Char"/>
    <w:link w:val="17"/>
    <w:qFormat/>
    <w:uiPriority w:val="0"/>
    <w:rPr>
      <w:rFonts w:ascii="宋体" w:hAnsi="Courier New"/>
      <w:kern w:val="2"/>
      <w:sz w:val="21"/>
    </w:rPr>
  </w:style>
  <w:style w:type="character" w:customStyle="1" w:styleId="55">
    <w:name w:val="Andy_2级 Char"/>
    <w:link w:val="56"/>
    <w:qFormat/>
    <w:uiPriority w:val="0"/>
    <w:rPr>
      <w:sz w:val="24"/>
    </w:rPr>
  </w:style>
  <w:style w:type="paragraph" w:customStyle="1" w:styleId="56">
    <w:name w:val="Andy_2级"/>
    <w:basedOn w:val="1"/>
    <w:link w:val="55"/>
    <w:qFormat/>
    <w:uiPriority w:val="0"/>
    <w:pPr>
      <w:widowControl w:val="0"/>
      <w:tabs>
        <w:tab w:val="left" w:pos="840"/>
      </w:tabs>
      <w:spacing w:line="360" w:lineRule="auto"/>
      <w:ind w:left="840" w:hanging="420"/>
      <w:jc w:val="both"/>
    </w:pPr>
    <w:rPr>
      <w:szCs w:val="20"/>
    </w:rPr>
  </w:style>
  <w:style w:type="character" w:customStyle="1" w:styleId="57">
    <w:name w:val="UH正文 Char"/>
    <w:link w:val="58"/>
    <w:qFormat/>
    <w:uiPriority w:val="0"/>
    <w:rPr>
      <w:rFonts w:ascii="Arial" w:hAnsi="Arial"/>
      <w:sz w:val="24"/>
      <w:szCs w:val="21"/>
      <w:lang w:val="en-US" w:eastAsia="zh-CN" w:bidi="ar-SA"/>
    </w:rPr>
  </w:style>
  <w:style w:type="paragraph" w:customStyle="1" w:styleId="58">
    <w:name w:val="UH正文"/>
    <w:link w:val="57"/>
    <w:qFormat/>
    <w:uiPriority w:val="0"/>
    <w:pPr>
      <w:spacing w:line="360" w:lineRule="auto"/>
      <w:ind w:firstLine="200" w:firstLineChars="200"/>
    </w:pPr>
    <w:rPr>
      <w:rFonts w:ascii="Arial" w:hAnsi="Arial" w:eastAsia="宋体" w:cs="Times New Roman"/>
      <w:sz w:val="24"/>
      <w:szCs w:val="21"/>
      <w:lang w:val="en-US" w:eastAsia="zh-CN" w:bidi="ar-SA"/>
    </w:rPr>
  </w:style>
  <w:style w:type="character" w:customStyle="1" w:styleId="59">
    <w:name w:val="批注文字 Char"/>
    <w:link w:val="11"/>
    <w:qFormat/>
    <w:uiPriority w:val="0"/>
    <w:rPr>
      <w:sz w:val="24"/>
      <w:szCs w:val="24"/>
    </w:rPr>
  </w:style>
  <w:style w:type="character" w:customStyle="1" w:styleId="60">
    <w:name w:val="批注主题 Char"/>
    <w:link w:val="28"/>
    <w:qFormat/>
    <w:uiPriority w:val="0"/>
    <w:rPr>
      <w:b/>
      <w:bCs/>
      <w:sz w:val="24"/>
      <w:szCs w:val="24"/>
    </w:rPr>
  </w:style>
  <w:style w:type="character" w:customStyle="1" w:styleId="61">
    <w:name w:val="标题 7 Char"/>
    <w:link w:val="8"/>
    <w:semiHidden/>
    <w:qFormat/>
    <w:uiPriority w:val="0"/>
    <w:rPr>
      <w:b/>
      <w:bCs/>
      <w:sz w:val="24"/>
      <w:szCs w:val="24"/>
    </w:rPr>
  </w:style>
  <w:style w:type="character" w:customStyle="1" w:styleId="62">
    <w:name w:val="副标题 Char"/>
    <w:link w:val="23"/>
    <w:qFormat/>
    <w:uiPriority w:val="0"/>
    <w:rPr>
      <w:rFonts w:ascii="Cambria" w:hAnsi="Cambria"/>
      <w:b/>
      <w:bCs/>
      <w:kern w:val="28"/>
      <w:sz w:val="32"/>
      <w:szCs w:val="32"/>
    </w:rPr>
  </w:style>
  <w:style w:type="paragraph" w:styleId="63">
    <w:name w:val="List Paragraph"/>
    <w:basedOn w:val="1"/>
    <w:qFormat/>
    <w:uiPriority w:val="34"/>
    <w:pPr>
      <w:ind w:firstLine="420" w:firstLineChars="200"/>
    </w:pPr>
  </w:style>
  <w:style w:type="paragraph" w:customStyle="1" w:styleId="64">
    <w:name w:val="Char1"/>
    <w:basedOn w:val="1"/>
    <w:uiPriority w:val="0"/>
    <w:pPr>
      <w:tabs>
        <w:tab w:val="left" w:pos="509"/>
      </w:tabs>
      <w:spacing w:after="160" w:line="240" w:lineRule="exact"/>
      <w:ind w:left="252"/>
    </w:pPr>
    <w:rPr>
      <w:rFonts w:ascii="Verdana" w:hAnsi="Verdana" w:eastAsia="仿宋_GB2312"/>
      <w:szCs w:val="20"/>
      <w:lang w:eastAsia="en-US"/>
    </w:rPr>
  </w:style>
  <w:style w:type="paragraph" w:customStyle="1" w:styleId="65">
    <w:name w:val="列出段落1"/>
    <w:basedOn w:val="1"/>
    <w:qFormat/>
    <w:uiPriority w:val="0"/>
    <w:pPr>
      <w:widowControl w:val="0"/>
      <w:ind w:firstLine="420" w:firstLineChars="200"/>
      <w:jc w:val="both"/>
    </w:pPr>
    <w:rPr>
      <w:rFonts w:eastAsia="楷体_GB2312"/>
      <w:kern w:val="2"/>
      <w:sz w:val="28"/>
      <w:szCs w:val="22"/>
    </w:rPr>
  </w:style>
  <w:style w:type="paragraph" w:customStyle="1" w:styleId="66">
    <w:name w:val="Andy_一级"/>
    <w:basedOn w:val="63"/>
    <w:qFormat/>
    <w:uiPriority w:val="0"/>
    <w:pPr>
      <w:keepNext/>
      <w:widowControl w:val="0"/>
      <w:tabs>
        <w:tab w:val="left" w:pos="360"/>
      </w:tabs>
      <w:spacing w:line="360" w:lineRule="auto"/>
      <w:ind w:left="360" w:firstLine="0" w:firstLineChars="0"/>
      <w:jc w:val="both"/>
    </w:pPr>
    <w:rPr>
      <w:b/>
      <w:szCs w:val="22"/>
    </w:rPr>
  </w:style>
  <w:style w:type="paragraph" w:customStyle="1" w:styleId="67">
    <w:name w:val="默认段落字体 Para Char Char Char Char Char Char Char"/>
    <w:basedOn w:val="1"/>
    <w:qFormat/>
    <w:uiPriority w:val="0"/>
    <w:pPr>
      <w:widowControl w:val="0"/>
      <w:spacing w:line="360" w:lineRule="auto"/>
      <w:jc w:val="both"/>
    </w:pPr>
    <w:rPr>
      <w:rFonts w:ascii="Tahoma" w:hAnsi="Tahoma"/>
      <w:kern w:val="2"/>
      <w:szCs w:val="20"/>
    </w:rPr>
  </w:style>
  <w:style w:type="paragraph" w:customStyle="1" w:styleId="68">
    <w:name w:val="Char"/>
    <w:basedOn w:val="1"/>
    <w:qFormat/>
    <w:uiPriority w:val="0"/>
    <w:pPr>
      <w:widowControl w:val="0"/>
      <w:jc w:val="both"/>
    </w:pPr>
    <w:rPr>
      <w:rFonts w:ascii="仿宋_GB2312" w:eastAsia="仿宋_GB2312"/>
      <w:b/>
      <w:kern w:val="2"/>
      <w:sz w:val="32"/>
      <w:szCs w:val="32"/>
    </w:rPr>
  </w:style>
  <w:style w:type="paragraph" w:customStyle="1" w:styleId="69">
    <w:name w:val="格式３"/>
    <w:basedOn w:val="1"/>
    <w:qFormat/>
    <w:uiPriority w:val="0"/>
    <w:pPr>
      <w:spacing w:line="420" w:lineRule="exact"/>
      <w:ind w:left="600" w:hanging="600" w:hangingChars="250"/>
    </w:pPr>
    <w:rPr>
      <w:rFonts w:ascii="宋体" w:hAnsi="宋体"/>
      <w:color w:val="000000"/>
      <w:szCs w:val="20"/>
    </w:rPr>
  </w:style>
  <w:style w:type="paragraph" w:customStyle="1" w:styleId="70">
    <w:name w:val="默认段落字体 Para Char Char Char Char Char Char Char Char Char Char Char Char Char"/>
    <w:basedOn w:val="1"/>
    <w:qFormat/>
    <w:uiPriority w:val="0"/>
    <w:pPr>
      <w:widowControl w:val="0"/>
      <w:jc w:val="both"/>
    </w:pPr>
    <w:rPr>
      <w:kern w:val="2"/>
      <w:sz w:val="21"/>
    </w:rPr>
  </w:style>
  <w:style w:type="paragraph" w:customStyle="1" w:styleId="71">
    <w:name w:val="Char Char Char"/>
    <w:basedOn w:val="1"/>
    <w:qFormat/>
    <w:uiPriority w:val="0"/>
    <w:pPr>
      <w:widowControl w:val="0"/>
      <w:jc w:val="both"/>
    </w:pPr>
    <w:rPr>
      <w:rFonts w:ascii="Tahoma" w:hAnsi="Tahoma"/>
      <w:kern w:val="2"/>
      <w:szCs w:val="20"/>
    </w:rPr>
  </w:style>
  <w:style w:type="paragraph" w:customStyle="1" w:styleId="72">
    <w:name w:val="符号列表"/>
    <w:basedOn w:val="1"/>
    <w:qFormat/>
    <w:uiPriority w:val="0"/>
    <w:pPr>
      <w:tabs>
        <w:tab w:val="left" w:pos="420"/>
      </w:tabs>
      <w:snapToGrid w:val="0"/>
      <w:spacing w:before="120"/>
      <w:ind w:left="420" w:hanging="420"/>
    </w:pPr>
    <w:rPr>
      <w:rFonts w:ascii="宋体" w:hAnsi="宋体"/>
      <w:color w:val="000000"/>
      <w:kern w:val="2"/>
    </w:rPr>
  </w:style>
  <w:style w:type="paragraph" w:customStyle="1" w:styleId="73">
    <w:name w:val="p15"/>
    <w:basedOn w:val="1"/>
    <w:qFormat/>
    <w:uiPriority w:val="0"/>
    <w:pPr>
      <w:snapToGrid w:val="0"/>
      <w:jc w:val="both"/>
    </w:pPr>
    <w:rPr>
      <w:rFonts w:ascii="宋体" w:hAnsi="宋体" w:cs="宋体"/>
      <w:sz w:val="26"/>
      <w:szCs w:val="26"/>
    </w:rPr>
  </w:style>
  <w:style w:type="paragraph" w:customStyle="1" w:styleId="74">
    <w:name w:val="font7"/>
    <w:basedOn w:val="1"/>
    <w:qFormat/>
    <w:uiPriority w:val="0"/>
    <w:pPr>
      <w:spacing w:before="100" w:beforeAutospacing="1" w:after="100" w:afterAutospacing="1"/>
    </w:pPr>
    <w:rPr>
      <w:sz w:val="20"/>
    </w:rPr>
  </w:style>
  <w:style w:type="paragraph" w:customStyle="1" w:styleId="75">
    <w:name w:val="Char Char6 Char Char"/>
    <w:basedOn w:val="1"/>
    <w:qFormat/>
    <w:uiPriority w:val="0"/>
    <w:pPr>
      <w:spacing w:after="160" w:line="360" w:lineRule="auto"/>
      <w:ind w:firstLine="200" w:firstLineChars="200"/>
    </w:pPr>
    <w:rPr>
      <w:rFonts w:ascii="宋体" w:hAnsi="宋体"/>
      <w:kern w:val="2"/>
      <w:szCs w:val="20"/>
    </w:rPr>
  </w:style>
  <w:style w:type="paragraph" w:customStyle="1" w:styleId="76">
    <w:name w:val="Plain Text1"/>
    <w:basedOn w:val="1"/>
    <w:qFormat/>
    <w:uiPriority w:val="0"/>
    <w:pPr>
      <w:widowControl w:val="0"/>
      <w:adjustRightInd w:val="0"/>
      <w:jc w:val="both"/>
    </w:pPr>
    <w:rPr>
      <w:rFonts w:hint="eastAsia" w:ascii="宋体" w:hAnsi="Courier New" w:eastAsia="楷体_GB2312"/>
      <w:kern w:val="2"/>
      <w:sz w:val="28"/>
      <w:szCs w:val="20"/>
    </w:rPr>
  </w:style>
  <w:style w:type="paragraph" w:customStyle="1" w:styleId="77">
    <w:name w:val="Char Char Char1"/>
    <w:basedOn w:val="1"/>
    <w:qFormat/>
    <w:uiPriority w:val="0"/>
    <w:pPr>
      <w:widowControl w:val="0"/>
      <w:jc w:val="both"/>
    </w:pPr>
    <w:rPr>
      <w:rFonts w:ascii="Tahoma" w:hAnsi="Tahoma"/>
      <w:kern w:val="2"/>
      <w:szCs w:val="20"/>
    </w:rPr>
  </w:style>
  <w:style w:type="paragraph" w:customStyle="1" w:styleId="78">
    <w:name w:val="Char Char Char Char1"/>
    <w:basedOn w:val="1"/>
    <w:qFormat/>
    <w:uiPriority w:val="0"/>
    <w:rPr>
      <w:rFonts w:ascii="Tahoma" w:hAnsi="Tahoma"/>
      <w:szCs w:val="20"/>
    </w:rPr>
  </w:style>
  <w:style w:type="paragraph" w:customStyle="1" w:styleId="79">
    <w:name w:val="Char Char1"/>
    <w:basedOn w:val="10"/>
    <w:uiPriority w:val="0"/>
    <w:pPr>
      <w:widowControl w:val="0"/>
      <w:adjustRightInd w:val="0"/>
      <w:snapToGrid w:val="0"/>
      <w:spacing w:line="360" w:lineRule="auto"/>
      <w:jc w:val="both"/>
    </w:pPr>
  </w:style>
  <w:style w:type="paragraph" w:customStyle="1" w:styleId="80">
    <w:name w:val="xl38"/>
    <w:basedOn w:val="1"/>
    <w:uiPriority w:val="0"/>
    <w:pPr>
      <w:pBdr>
        <w:top w:val="single" w:color="auto" w:sz="4" w:space="0"/>
        <w:bottom w:val="single" w:color="auto" w:sz="4" w:space="0"/>
      </w:pBdr>
      <w:spacing w:before="100" w:beforeAutospacing="1" w:after="100" w:afterAutospacing="1"/>
    </w:pPr>
    <w:rPr>
      <w:b/>
      <w:bCs/>
      <w:sz w:val="18"/>
      <w:szCs w:val="18"/>
    </w:rPr>
  </w:style>
  <w:style w:type="paragraph" w:customStyle="1" w:styleId="81">
    <w:name w:val="TOC Heading"/>
    <w:basedOn w:val="2"/>
    <w:next w:val="1"/>
    <w:qFormat/>
    <w:uiPriority w:val="39"/>
    <w:pPr>
      <w:widowControl/>
      <w:spacing w:before="240" w:after="0" w:line="259" w:lineRule="auto"/>
      <w:jc w:val="left"/>
      <w:outlineLvl w:val="9"/>
    </w:pPr>
    <w:rPr>
      <w:rFonts w:ascii="Calibri Light" w:hAnsi="Calibri Light" w:eastAsia="宋体"/>
      <w:b w:val="0"/>
      <w:color w:val="2E74B5"/>
      <w:kern w:val="0"/>
      <w:sz w:val="32"/>
      <w:szCs w:val="32"/>
    </w:rPr>
  </w:style>
  <w:style w:type="paragraph" w:customStyle="1" w:styleId="82">
    <w:name w:val="纯文本11"/>
    <w:basedOn w:val="1"/>
    <w:qFormat/>
    <w:uiPriority w:val="0"/>
    <w:pPr>
      <w:widowControl w:val="0"/>
      <w:adjustRightInd w:val="0"/>
      <w:jc w:val="both"/>
      <w:textAlignment w:val="baseline"/>
    </w:pPr>
    <w:rPr>
      <w:rFonts w:ascii="宋体" w:hAnsi="Courier New" w:eastAsia="楷体_GB2312"/>
      <w:kern w:val="2"/>
      <w:sz w:val="26"/>
      <w:szCs w:val="20"/>
    </w:rPr>
  </w:style>
  <w:style w:type="paragraph" w:customStyle="1" w:styleId="83">
    <w:name w:val="p0"/>
    <w:basedOn w:val="1"/>
    <w:uiPriority w:val="0"/>
    <w:pPr>
      <w:jc w:val="both"/>
    </w:pPr>
    <w:rPr>
      <w:sz w:val="21"/>
      <w:szCs w:val="21"/>
    </w:rPr>
  </w:style>
  <w:style w:type="paragraph" w:customStyle="1" w:styleId="84">
    <w:name w:val="Char2"/>
    <w:basedOn w:val="1"/>
    <w:uiPriority w:val="0"/>
    <w:pPr>
      <w:widowControl w:val="0"/>
      <w:jc w:val="both"/>
    </w:pPr>
    <w:rPr>
      <w:rFonts w:ascii="Tahoma" w:hAnsi="Tahoma"/>
      <w:kern w:val="2"/>
      <w:szCs w:val="20"/>
    </w:rPr>
  </w:style>
  <w:style w:type="paragraph" w:customStyle="1" w:styleId="85">
    <w:name w:val="Table Paragraph"/>
    <w:basedOn w:val="1"/>
    <w:qFormat/>
    <w:uiPriority w:val="1"/>
    <w:pPr>
      <w:jc w:val="left"/>
    </w:pPr>
    <w:rPr>
      <w:rFonts w:ascii="Calibri" w:hAnsi="Calibri" w:eastAsia="Calibri" w:cs="Times New Roman"/>
      <w:kern w:val="0"/>
      <w:sz w:val="22"/>
      <w:szCs w:val="22"/>
      <w:lang w:eastAsia="en-US"/>
    </w:rPr>
  </w:style>
  <w:style w:type="paragraph" w:customStyle="1" w:styleId="8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7">
    <w:name w:val="样式 标题 2 + Times New Roman 四号 非加粗 段前: 5 磅 段后: 0 磅 行距: 固定值 20..."/>
    <w:basedOn w:val="3"/>
    <w:uiPriority w:val="0"/>
    <w:pPr>
      <w:spacing w:before="100" w:after="0" w:line="400" w:lineRule="exact"/>
    </w:pPr>
    <w:rPr>
      <w:rFonts w:ascii="Times New Roman" w:hAnsi="Times New Roman" w:eastAsia="宋体" w:cs="宋体"/>
      <w:b w:val="0"/>
      <w:bCs w:val="0"/>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1481</Words>
  <Characters>8443</Characters>
  <Lines>70</Lines>
  <Paragraphs>19</Paragraphs>
  <TotalTime>6</TotalTime>
  <ScaleCrop>false</ScaleCrop>
  <LinksUpToDate>false</LinksUpToDate>
  <CharactersWithSpaces>9905</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2018-12-18T02:44:00Z</dcterms:created>
  <dc:creator>微软用户</dc:creator>
  <cp:lastModifiedBy>จุ๊บL满天星</cp:lastModifiedBy>
  <cp:lastPrinted>2019-05-10T06:02:29Z</cp:lastPrinted>
  <dcterms:modified xsi:type="dcterms:W3CDTF">2019-05-10T07:54:15Z</dcterms:modified>
  <dc:title>高新区政府采购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